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57" w:rsidRPr="003F392C" w:rsidRDefault="00A63D51" w:rsidP="003F392C">
      <w:pPr>
        <w:rPr>
          <w:b/>
          <w:sz w:val="24"/>
          <w:szCs w:val="26"/>
          <w:lang w:val="en-US"/>
        </w:rPr>
      </w:pPr>
      <w:r w:rsidRPr="003F392C">
        <w:rPr>
          <w:b/>
          <w:sz w:val="24"/>
          <w:szCs w:val="26"/>
          <w:lang w:val="en-US"/>
        </w:rPr>
        <w:t xml:space="preserve">LTABC </w:t>
      </w:r>
      <w:r w:rsidR="00CD4351" w:rsidRPr="003F392C">
        <w:rPr>
          <w:b/>
          <w:sz w:val="24"/>
          <w:szCs w:val="26"/>
          <w:lang w:val="en-US"/>
        </w:rPr>
        <w:t>Whistleblower Policy</w:t>
      </w:r>
    </w:p>
    <w:p w:rsidR="00A63D51" w:rsidRPr="003F392C" w:rsidRDefault="00A63D51" w:rsidP="002E2917">
      <w:pPr>
        <w:rPr>
          <w:b/>
          <w:sz w:val="24"/>
          <w:szCs w:val="26"/>
          <w:lang w:val="en-US"/>
        </w:rPr>
      </w:pPr>
    </w:p>
    <w:p w:rsidR="007512B1" w:rsidRPr="003F392C" w:rsidRDefault="00CD4351" w:rsidP="007512B1">
      <w:pPr>
        <w:pStyle w:val="ListParagraph"/>
        <w:numPr>
          <w:ilvl w:val="0"/>
          <w:numId w:val="25"/>
        </w:numPr>
        <w:rPr>
          <w:b/>
          <w:sz w:val="24"/>
          <w:szCs w:val="26"/>
          <w:lang w:val="en-US"/>
        </w:rPr>
      </w:pPr>
      <w:r w:rsidRPr="003F392C">
        <w:rPr>
          <w:b/>
          <w:sz w:val="24"/>
          <w:szCs w:val="26"/>
          <w:lang w:val="en-US"/>
        </w:rPr>
        <w:t>General</w:t>
      </w:r>
    </w:p>
    <w:p w:rsidR="00D661B2" w:rsidRPr="003F392C" w:rsidRDefault="00A366AF" w:rsidP="007512B1">
      <w:pPr>
        <w:rPr>
          <w:sz w:val="24"/>
          <w:szCs w:val="26"/>
          <w:lang w:val="en-US"/>
        </w:rPr>
      </w:pPr>
      <w:r w:rsidRPr="003F392C">
        <w:rPr>
          <w:sz w:val="24"/>
          <w:lang w:eastAsia="en-CA"/>
        </w:rPr>
        <w:t>The Land Trust Alliance of BC (the “</w:t>
      </w:r>
      <w:r w:rsidRPr="003F392C">
        <w:rPr>
          <w:b/>
          <w:sz w:val="24"/>
          <w:lang w:eastAsia="en-CA"/>
        </w:rPr>
        <w:t>LTABC</w:t>
      </w:r>
      <w:r w:rsidRPr="003F392C">
        <w:rPr>
          <w:sz w:val="24"/>
          <w:lang w:eastAsia="en-CA"/>
        </w:rPr>
        <w:t xml:space="preserve">”) </w:t>
      </w:r>
      <w:r w:rsidR="00D661B2" w:rsidRPr="003F392C">
        <w:rPr>
          <w:sz w:val="24"/>
          <w:szCs w:val="26"/>
          <w:lang w:val="en-US"/>
        </w:rPr>
        <w:t xml:space="preserve">is committed to lawful and ethical behavior in all of its activities. As such, the </w:t>
      </w:r>
      <w:r w:rsidRPr="003F392C">
        <w:rPr>
          <w:sz w:val="24"/>
          <w:szCs w:val="26"/>
          <w:lang w:val="en-US"/>
        </w:rPr>
        <w:t>LTABC</w:t>
      </w:r>
      <w:r w:rsidR="00D661B2" w:rsidRPr="003F392C">
        <w:rPr>
          <w:sz w:val="24"/>
          <w:szCs w:val="26"/>
          <w:lang w:val="en-US"/>
        </w:rPr>
        <w:t xml:space="preserve"> requires its </w:t>
      </w:r>
      <w:r w:rsidR="00067979">
        <w:rPr>
          <w:sz w:val="24"/>
          <w:szCs w:val="26"/>
          <w:lang w:val="en-US"/>
        </w:rPr>
        <w:t xml:space="preserve">directors, officers, </w:t>
      </w:r>
      <w:r w:rsidR="00D661B2" w:rsidRPr="003F392C">
        <w:rPr>
          <w:sz w:val="24"/>
          <w:szCs w:val="26"/>
          <w:lang w:val="en-US"/>
        </w:rPr>
        <w:t>employees</w:t>
      </w:r>
      <w:r w:rsidR="00067979">
        <w:rPr>
          <w:sz w:val="24"/>
          <w:szCs w:val="26"/>
          <w:lang w:val="en-US"/>
        </w:rPr>
        <w:t xml:space="preserve"> and volunteers</w:t>
      </w:r>
      <w:r w:rsidR="00D661B2" w:rsidRPr="003F392C">
        <w:rPr>
          <w:sz w:val="24"/>
          <w:szCs w:val="26"/>
          <w:lang w:val="en-US"/>
        </w:rPr>
        <w:t xml:space="preserve"> to observe high standards of business and personal ethics and act with honesty and integrity when conducting their duties and responsibilities on behalf of the </w:t>
      </w:r>
      <w:r w:rsidRPr="003F392C">
        <w:rPr>
          <w:sz w:val="24"/>
          <w:szCs w:val="26"/>
          <w:lang w:val="en-US"/>
        </w:rPr>
        <w:t>LTABC</w:t>
      </w:r>
      <w:r w:rsidR="00D661B2" w:rsidRPr="003F392C">
        <w:rPr>
          <w:sz w:val="24"/>
          <w:szCs w:val="26"/>
          <w:lang w:val="en-US"/>
        </w:rPr>
        <w:t>.</w:t>
      </w:r>
    </w:p>
    <w:p w:rsidR="007512B1" w:rsidRPr="003F392C" w:rsidRDefault="007512B1" w:rsidP="000C3B18">
      <w:pPr>
        <w:rPr>
          <w:sz w:val="24"/>
          <w:szCs w:val="26"/>
          <w:lang w:val="en-US"/>
        </w:rPr>
      </w:pPr>
    </w:p>
    <w:p w:rsidR="00C84C59" w:rsidRPr="003F392C" w:rsidRDefault="00C84C59" w:rsidP="00C84C59">
      <w:pPr>
        <w:pStyle w:val="ListParagraph"/>
        <w:numPr>
          <w:ilvl w:val="0"/>
          <w:numId w:val="25"/>
        </w:numPr>
        <w:rPr>
          <w:b/>
          <w:sz w:val="24"/>
          <w:szCs w:val="26"/>
          <w:lang w:val="en-US"/>
        </w:rPr>
      </w:pPr>
      <w:r w:rsidRPr="003F392C">
        <w:rPr>
          <w:b/>
          <w:sz w:val="24"/>
          <w:szCs w:val="26"/>
          <w:lang w:val="en-US"/>
        </w:rPr>
        <w:t>Purpose</w:t>
      </w:r>
    </w:p>
    <w:p w:rsidR="00874A18" w:rsidRPr="003F392C" w:rsidRDefault="00874A18" w:rsidP="007512B1">
      <w:pPr>
        <w:rPr>
          <w:sz w:val="24"/>
          <w:szCs w:val="26"/>
          <w:lang w:val="en-US"/>
        </w:rPr>
      </w:pPr>
      <w:r w:rsidRPr="003F392C">
        <w:rPr>
          <w:sz w:val="24"/>
        </w:rPr>
        <w:t>The purpose of this policy is to ensure there is a procedure to report, investigate, and act upon allegations of wrongdoing within the financial management system and allegations with respect to any legal, governance, operational or policy violations, and to provide protection to persons who come forward with these reports in good faith.</w:t>
      </w:r>
    </w:p>
    <w:p w:rsidR="007512B1" w:rsidRPr="003F392C" w:rsidRDefault="007512B1">
      <w:pPr>
        <w:jc w:val="left"/>
        <w:rPr>
          <w:sz w:val="24"/>
          <w:szCs w:val="26"/>
          <w:lang w:val="en-US"/>
        </w:rPr>
      </w:pPr>
    </w:p>
    <w:p w:rsidR="00C84C59" w:rsidRPr="003F392C" w:rsidRDefault="00C84C59" w:rsidP="00C84C59">
      <w:pPr>
        <w:pStyle w:val="ListParagraph"/>
        <w:numPr>
          <w:ilvl w:val="0"/>
          <w:numId w:val="25"/>
        </w:numPr>
        <w:rPr>
          <w:b/>
          <w:sz w:val="24"/>
          <w:szCs w:val="26"/>
          <w:lang w:val="en-US"/>
        </w:rPr>
      </w:pPr>
      <w:r w:rsidRPr="003F392C">
        <w:rPr>
          <w:b/>
          <w:sz w:val="24"/>
          <w:szCs w:val="26"/>
          <w:lang w:val="en-US"/>
        </w:rPr>
        <w:t>Definitions</w:t>
      </w:r>
    </w:p>
    <w:p w:rsidR="00874A18" w:rsidRPr="003F392C" w:rsidRDefault="00A63D51" w:rsidP="00874A18">
      <w:pPr>
        <w:rPr>
          <w:sz w:val="24"/>
          <w:szCs w:val="26"/>
          <w:lang w:val="en-US"/>
        </w:rPr>
      </w:pPr>
      <w:r w:rsidRPr="003F392C">
        <w:rPr>
          <w:sz w:val="24"/>
          <w:szCs w:val="26"/>
          <w:lang w:val="en-US"/>
        </w:rPr>
        <w:t>“Reportable Activity”</w:t>
      </w:r>
      <w:r w:rsidR="000C3B18" w:rsidRPr="003F392C">
        <w:rPr>
          <w:sz w:val="24"/>
          <w:szCs w:val="26"/>
          <w:lang w:val="en-US"/>
        </w:rPr>
        <w:t xml:space="preserve"> </w:t>
      </w:r>
      <w:r w:rsidR="00874A18" w:rsidRPr="003F392C">
        <w:rPr>
          <w:sz w:val="24"/>
          <w:szCs w:val="26"/>
          <w:lang w:val="en-US"/>
        </w:rPr>
        <w:t xml:space="preserve">includes any material breach of the </w:t>
      </w:r>
      <w:r w:rsidR="00A366AF" w:rsidRPr="003F392C">
        <w:rPr>
          <w:sz w:val="24"/>
          <w:szCs w:val="26"/>
          <w:lang w:val="en-US"/>
        </w:rPr>
        <w:t>LTABC</w:t>
      </w:r>
      <w:r w:rsidR="00874A18" w:rsidRPr="003F392C">
        <w:rPr>
          <w:sz w:val="24"/>
          <w:szCs w:val="26"/>
          <w:lang w:val="en-US"/>
        </w:rPr>
        <w:t>’s bylaws, policies, and procedures (specifically, but not limited to those that relate to financial administration), and its conflict of interest provision</w:t>
      </w:r>
      <w:r w:rsidR="000C3B18" w:rsidRPr="003F392C">
        <w:rPr>
          <w:sz w:val="24"/>
          <w:szCs w:val="26"/>
          <w:lang w:val="en-US"/>
        </w:rPr>
        <w:t>s, and</w:t>
      </w:r>
      <w:r w:rsidR="00874A18" w:rsidRPr="003F392C">
        <w:rPr>
          <w:sz w:val="24"/>
          <w:szCs w:val="26"/>
          <w:lang w:val="en-US"/>
        </w:rPr>
        <w:t xml:space="preserve"> incl</w:t>
      </w:r>
      <w:r w:rsidR="000C3B18" w:rsidRPr="003F392C">
        <w:rPr>
          <w:sz w:val="24"/>
          <w:szCs w:val="26"/>
          <w:lang w:val="en-US"/>
        </w:rPr>
        <w:t>udes</w:t>
      </w:r>
      <w:r w:rsidR="00874A18" w:rsidRPr="003F392C">
        <w:rPr>
          <w:sz w:val="24"/>
          <w:szCs w:val="26"/>
          <w:lang w:val="en-US"/>
        </w:rPr>
        <w:t>:</w:t>
      </w:r>
    </w:p>
    <w:p w:rsidR="00A63D51" w:rsidRPr="003F392C" w:rsidRDefault="00A63D51" w:rsidP="00874A18">
      <w:pPr>
        <w:rPr>
          <w:sz w:val="24"/>
          <w:szCs w:val="26"/>
          <w:lang w:val="en-US"/>
        </w:rPr>
      </w:pPr>
    </w:p>
    <w:p w:rsidR="00874A18" w:rsidRPr="003F392C" w:rsidRDefault="00874A18" w:rsidP="00874A18">
      <w:pPr>
        <w:pStyle w:val="ListParagraph"/>
        <w:numPr>
          <w:ilvl w:val="0"/>
          <w:numId w:val="26"/>
        </w:numPr>
        <w:rPr>
          <w:sz w:val="24"/>
          <w:szCs w:val="26"/>
          <w:lang w:val="en-US"/>
        </w:rPr>
      </w:pPr>
      <w:r w:rsidRPr="003F392C">
        <w:rPr>
          <w:sz w:val="24"/>
          <w:szCs w:val="26"/>
          <w:lang w:val="en-US"/>
        </w:rPr>
        <w:t>Questionable accounting practices and inadequate internal accounting controls;</w:t>
      </w:r>
    </w:p>
    <w:p w:rsidR="00874A18" w:rsidRPr="003F392C" w:rsidRDefault="00874A18" w:rsidP="00874A18">
      <w:pPr>
        <w:pStyle w:val="ListParagraph"/>
        <w:numPr>
          <w:ilvl w:val="1"/>
          <w:numId w:val="26"/>
        </w:numPr>
        <w:rPr>
          <w:sz w:val="24"/>
          <w:szCs w:val="26"/>
          <w:lang w:val="en-US"/>
        </w:rPr>
      </w:pPr>
      <w:r w:rsidRPr="003F392C">
        <w:rPr>
          <w:sz w:val="24"/>
          <w:szCs w:val="26"/>
          <w:lang w:val="en-US"/>
        </w:rPr>
        <w:t>Inappropriate recording or reporting of revenues, or lack thereof</w:t>
      </w:r>
    </w:p>
    <w:p w:rsidR="00874A18" w:rsidRPr="003F392C" w:rsidRDefault="00874A18" w:rsidP="00874A18">
      <w:pPr>
        <w:pStyle w:val="ListParagraph"/>
        <w:numPr>
          <w:ilvl w:val="1"/>
          <w:numId w:val="26"/>
        </w:numPr>
        <w:rPr>
          <w:sz w:val="24"/>
          <w:szCs w:val="26"/>
          <w:lang w:val="en-US"/>
        </w:rPr>
      </w:pPr>
      <w:r w:rsidRPr="003F392C">
        <w:rPr>
          <w:sz w:val="24"/>
          <w:szCs w:val="26"/>
          <w:lang w:val="en-US"/>
        </w:rPr>
        <w:t>Inappropriate classification of assets and/or liabilities</w:t>
      </w:r>
    </w:p>
    <w:p w:rsidR="00874A18" w:rsidRPr="003F392C" w:rsidRDefault="00874A18" w:rsidP="00874A18">
      <w:pPr>
        <w:pStyle w:val="ListParagraph"/>
        <w:numPr>
          <w:ilvl w:val="0"/>
          <w:numId w:val="26"/>
        </w:numPr>
        <w:rPr>
          <w:sz w:val="24"/>
          <w:szCs w:val="26"/>
          <w:lang w:val="en-US"/>
        </w:rPr>
      </w:pPr>
      <w:r w:rsidRPr="003F392C">
        <w:rPr>
          <w:sz w:val="24"/>
          <w:szCs w:val="26"/>
          <w:lang w:val="en-US"/>
        </w:rPr>
        <w:t>Misleading or coercion of auditors;</w:t>
      </w:r>
    </w:p>
    <w:p w:rsidR="00874A18" w:rsidRPr="003F392C" w:rsidRDefault="00874A18" w:rsidP="00874A18">
      <w:pPr>
        <w:pStyle w:val="ListParagraph"/>
        <w:numPr>
          <w:ilvl w:val="0"/>
          <w:numId w:val="26"/>
        </w:numPr>
        <w:rPr>
          <w:sz w:val="24"/>
          <w:szCs w:val="26"/>
          <w:lang w:val="en-US"/>
        </w:rPr>
      </w:pPr>
      <w:r w:rsidRPr="003F392C">
        <w:rPr>
          <w:sz w:val="24"/>
          <w:szCs w:val="26"/>
          <w:lang w:val="en-US"/>
        </w:rPr>
        <w:t>Preparation of fraudulent or misleading financial information;</w:t>
      </w:r>
    </w:p>
    <w:p w:rsidR="00874A18" w:rsidRPr="003F392C" w:rsidRDefault="00874A18" w:rsidP="00874A18">
      <w:pPr>
        <w:pStyle w:val="ListParagraph"/>
        <w:numPr>
          <w:ilvl w:val="0"/>
          <w:numId w:val="26"/>
        </w:numPr>
        <w:rPr>
          <w:sz w:val="24"/>
          <w:szCs w:val="26"/>
          <w:lang w:val="en-US"/>
        </w:rPr>
      </w:pPr>
      <w:r w:rsidRPr="003F392C">
        <w:rPr>
          <w:sz w:val="24"/>
          <w:szCs w:val="26"/>
          <w:lang w:val="en-US"/>
        </w:rPr>
        <w:t>Intentional deception for personal gain;</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Material misrepresentation in disclosures made by or on behalf of the </w:t>
      </w:r>
      <w:r w:rsidR="00A366AF" w:rsidRPr="003F392C">
        <w:rPr>
          <w:sz w:val="24"/>
          <w:szCs w:val="26"/>
          <w:lang w:val="en-US"/>
        </w:rPr>
        <w:t>LTABC</w:t>
      </w:r>
      <w:r w:rsidRPr="003F392C">
        <w:rPr>
          <w:sz w:val="24"/>
          <w:szCs w:val="26"/>
          <w:lang w:val="en-US"/>
        </w:rPr>
        <w:t>;</w:t>
      </w:r>
    </w:p>
    <w:p w:rsidR="00874A18" w:rsidRPr="003F392C" w:rsidRDefault="00874A18" w:rsidP="00874A18">
      <w:pPr>
        <w:pStyle w:val="ListParagraph"/>
        <w:numPr>
          <w:ilvl w:val="0"/>
          <w:numId w:val="26"/>
        </w:numPr>
        <w:rPr>
          <w:sz w:val="24"/>
          <w:szCs w:val="26"/>
          <w:lang w:val="en-US"/>
        </w:rPr>
      </w:pPr>
      <w:r w:rsidRPr="003F392C">
        <w:rPr>
          <w:sz w:val="24"/>
          <w:szCs w:val="26"/>
          <w:lang w:val="en-US"/>
        </w:rPr>
        <w:t>Theft of physical or intellectual property;</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Misappropriation of funds – use of the </w:t>
      </w:r>
      <w:r w:rsidR="00A366AF" w:rsidRPr="003F392C">
        <w:rPr>
          <w:sz w:val="24"/>
          <w:szCs w:val="26"/>
          <w:lang w:val="en-US"/>
        </w:rPr>
        <w:t>LTABC</w:t>
      </w:r>
      <w:r w:rsidRPr="003F392C">
        <w:rPr>
          <w:sz w:val="24"/>
          <w:szCs w:val="26"/>
          <w:lang w:val="en-US"/>
        </w:rPr>
        <w:t>’s funds for personal gain or unauthorized uses, including any expenditures, acceptance of liability or other transactions that do not have the proper authorizations;</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Embezzlement of the </w:t>
      </w:r>
      <w:r w:rsidR="00A366AF" w:rsidRPr="003F392C">
        <w:rPr>
          <w:sz w:val="24"/>
          <w:szCs w:val="26"/>
          <w:lang w:val="en-US"/>
        </w:rPr>
        <w:t>LTABC</w:t>
      </w:r>
      <w:r w:rsidRPr="003F392C">
        <w:rPr>
          <w:sz w:val="24"/>
          <w:szCs w:val="26"/>
          <w:lang w:val="en-US"/>
        </w:rPr>
        <w:t>’s assets (financial and non-financial) by an individual or group of individuals;</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Unethical </w:t>
      </w:r>
      <w:proofErr w:type="spellStart"/>
      <w:r w:rsidRPr="003F392C">
        <w:rPr>
          <w:sz w:val="24"/>
          <w:szCs w:val="26"/>
          <w:lang w:val="en-US"/>
        </w:rPr>
        <w:t>behaviour</w:t>
      </w:r>
      <w:proofErr w:type="spellEnd"/>
      <w:r w:rsidRPr="003F392C">
        <w:rPr>
          <w:sz w:val="24"/>
          <w:szCs w:val="26"/>
          <w:lang w:val="en-US"/>
        </w:rPr>
        <w:t xml:space="preserve"> including breach of conflict of interest or code of conduct policies;</w:t>
      </w:r>
    </w:p>
    <w:p w:rsidR="00874A18" w:rsidRPr="003F392C" w:rsidRDefault="00874A18" w:rsidP="00874A18">
      <w:pPr>
        <w:pStyle w:val="ListParagraph"/>
        <w:numPr>
          <w:ilvl w:val="0"/>
          <w:numId w:val="26"/>
        </w:numPr>
        <w:rPr>
          <w:sz w:val="24"/>
          <w:szCs w:val="26"/>
          <w:lang w:val="en-US"/>
        </w:rPr>
      </w:pPr>
      <w:r w:rsidRPr="003F392C">
        <w:rPr>
          <w:sz w:val="24"/>
          <w:szCs w:val="26"/>
          <w:lang w:val="en-US"/>
        </w:rPr>
        <w:lastRenderedPageBreak/>
        <w:t>Receiving personal kickbacks or gifts from contractors or vendors which could create bias in the tendering process (excludes nominal gifts or business lunches within reasonable price limits);</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Inappropriate projects for the benefit of a landowner or business, and not necessarily in the </w:t>
      </w:r>
      <w:r w:rsidR="00A366AF" w:rsidRPr="003F392C">
        <w:rPr>
          <w:sz w:val="24"/>
          <w:szCs w:val="26"/>
          <w:lang w:val="en-US"/>
        </w:rPr>
        <w:t>LTABC</w:t>
      </w:r>
      <w:r w:rsidRPr="003F392C">
        <w:rPr>
          <w:sz w:val="24"/>
          <w:szCs w:val="26"/>
          <w:lang w:val="en-US"/>
        </w:rPr>
        <w:t>’s interest.</w:t>
      </w:r>
    </w:p>
    <w:p w:rsidR="00874A18" w:rsidRPr="003F392C" w:rsidRDefault="00874A18" w:rsidP="00874A18">
      <w:pPr>
        <w:pStyle w:val="ListParagraph"/>
        <w:numPr>
          <w:ilvl w:val="0"/>
          <w:numId w:val="26"/>
        </w:numPr>
        <w:rPr>
          <w:sz w:val="24"/>
          <w:szCs w:val="26"/>
          <w:lang w:val="en-US"/>
        </w:rPr>
      </w:pPr>
      <w:r w:rsidRPr="003F392C">
        <w:rPr>
          <w:sz w:val="24"/>
          <w:szCs w:val="26"/>
          <w:lang w:val="en-US"/>
        </w:rPr>
        <w:t>Illegal activities;</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Gross mismanagement - a deliberate act or an omission demonstrating </w:t>
      </w:r>
      <w:proofErr w:type="spellStart"/>
      <w:r w:rsidRPr="003F392C">
        <w:rPr>
          <w:sz w:val="24"/>
          <w:szCs w:val="26"/>
          <w:lang w:val="en-US"/>
        </w:rPr>
        <w:t>wilful</w:t>
      </w:r>
      <w:proofErr w:type="spellEnd"/>
      <w:r w:rsidRPr="003F392C">
        <w:rPr>
          <w:sz w:val="24"/>
          <w:szCs w:val="26"/>
          <w:lang w:val="en-US"/>
        </w:rPr>
        <w:t xml:space="preserve"> disregard for the efficient and effective management of the </w:t>
      </w:r>
      <w:r w:rsidR="00A366AF" w:rsidRPr="003F392C">
        <w:rPr>
          <w:sz w:val="24"/>
          <w:szCs w:val="26"/>
          <w:lang w:val="en-US"/>
        </w:rPr>
        <w:t>LTABC</w:t>
      </w:r>
      <w:r w:rsidRPr="003F392C">
        <w:rPr>
          <w:sz w:val="24"/>
          <w:szCs w:val="26"/>
          <w:lang w:val="en-US"/>
        </w:rPr>
        <w:t>’s resources;</w:t>
      </w:r>
      <w:r w:rsidR="00A63D51" w:rsidRPr="003F392C">
        <w:rPr>
          <w:sz w:val="24"/>
          <w:szCs w:val="26"/>
          <w:lang w:val="en-US"/>
        </w:rPr>
        <w:t xml:space="preserve"> and</w:t>
      </w:r>
    </w:p>
    <w:p w:rsidR="00874A18" w:rsidRPr="003F392C" w:rsidRDefault="00874A18" w:rsidP="00874A18">
      <w:pPr>
        <w:pStyle w:val="ListParagraph"/>
        <w:numPr>
          <w:ilvl w:val="0"/>
          <w:numId w:val="26"/>
        </w:numPr>
        <w:rPr>
          <w:sz w:val="24"/>
          <w:szCs w:val="26"/>
          <w:lang w:val="en-US"/>
        </w:rPr>
      </w:pPr>
      <w:r w:rsidRPr="003F392C">
        <w:rPr>
          <w:sz w:val="24"/>
          <w:szCs w:val="26"/>
          <w:lang w:val="en-US"/>
        </w:rPr>
        <w:t xml:space="preserve">Knowingly violating the BC Personal Information Protection Act, the Societies Act, the </w:t>
      </w:r>
      <w:r w:rsidR="00A366AF" w:rsidRPr="003F392C">
        <w:rPr>
          <w:sz w:val="24"/>
          <w:szCs w:val="26"/>
          <w:lang w:val="en-US"/>
        </w:rPr>
        <w:t>LTABC</w:t>
      </w:r>
      <w:r w:rsidRPr="003F392C">
        <w:rPr>
          <w:sz w:val="24"/>
          <w:szCs w:val="26"/>
          <w:lang w:val="en-US"/>
        </w:rPr>
        <w:t xml:space="preserve">’s bylaws, policies and/or procedures that may have significant adverse implications to the </w:t>
      </w:r>
      <w:r w:rsidR="00A366AF" w:rsidRPr="003F392C">
        <w:rPr>
          <w:sz w:val="24"/>
          <w:szCs w:val="26"/>
          <w:lang w:val="en-US"/>
        </w:rPr>
        <w:t>LTABC</w:t>
      </w:r>
      <w:r w:rsidRPr="003F392C">
        <w:rPr>
          <w:sz w:val="24"/>
          <w:szCs w:val="26"/>
          <w:lang w:val="en-US"/>
        </w:rPr>
        <w:t>.</w:t>
      </w:r>
    </w:p>
    <w:p w:rsidR="00C84C59" w:rsidRPr="003F392C" w:rsidRDefault="00C84C59" w:rsidP="00C84C59">
      <w:pPr>
        <w:pStyle w:val="ListParagraph"/>
        <w:numPr>
          <w:ilvl w:val="0"/>
          <w:numId w:val="25"/>
        </w:numPr>
        <w:rPr>
          <w:b/>
          <w:sz w:val="24"/>
          <w:szCs w:val="26"/>
          <w:lang w:val="en-US"/>
        </w:rPr>
      </w:pPr>
      <w:r w:rsidRPr="003F392C">
        <w:rPr>
          <w:b/>
          <w:sz w:val="24"/>
          <w:szCs w:val="26"/>
          <w:lang w:val="en-US"/>
        </w:rPr>
        <w:t>Scope</w:t>
      </w:r>
    </w:p>
    <w:p w:rsidR="004F5ED0" w:rsidRPr="003F392C" w:rsidRDefault="004F5ED0" w:rsidP="004F5ED0">
      <w:pPr>
        <w:rPr>
          <w:sz w:val="24"/>
          <w:szCs w:val="26"/>
          <w:lang w:val="en-US"/>
        </w:rPr>
      </w:pPr>
      <w:r w:rsidRPr="003F392C">
        <w:rPr>
          <w:sz w:val="24"/>
          <w:szCs w:val="26"/>
          <w:lang w:val="en-US"/>
        </w:rPr>
        <w:t xml:space="preserve">All directors, officers, employees and volunteers of the </w:t>
      </w:r>
      <w:r w:rsidR="00A366AF" w:rsidRPr="003F392C">
        <w:rPr>
          <w:sz w:val="24"/>
          <w:szCs w:val="26"/>
          <w:lang w:val="en-US"/>
        </w:rPr>
        <w:t>LTABC</w:t>
      </w:r>
      <w:r w:rsidRPr="003F392C">
        <w:rPr>
          <w:sz w:val="24"/>
          <w:szCs w:val="26"/>
          <w:lang w:val="en-US"/>
        </w:rPr>
        <w:t xml:space="preserve"> must promptly report in complian</w:t>
      </w:r>
      <w:r w:rsidR="00A63D51" w:rsidRPr="003F392C">
        <w:rPr>
          <w:sz w:val="24"/>
          <w:szCs w:val="26"/>
          <w:lang w:val="en-US"/>
        </w:rPr>
        <w:t>ce with this Policy any Reportable Activity</w:t>
      </w:r>
      <w:r w:rsidRPr="003F392C">
        <w:rPr>
          <w:sz w:val="24"/>
          <w:szCs w:val="26"/>
          <w:lang w:val="en-US"/>
        </w:rPr>
        <w:t xml:space="preserve"> of which they become aware or have reason to believe may exist.</w:t>
      </w:r>
    </w:p>
    <w:p w:rsidR="007512B1" w:rsidRPr="003F392C" w:rsidRDefault="007512B1">
      <w:pPr>
        <w:jc w:val="left"/>
        <w:rPr>
          <w:sz w:val="24"/>
          <w:szCs w:val="26"/>
          <w:lang w:val="en-US"/>
        </w:rPr>
      </w:pPr>
    </w:p>
    <w:p w:rsidR="00C84C59" w:rsidRPr="003F392C" w:rsidRDefault="00C84C59" w:rsidP="00C84C59">
      <w:pPr>
        <w:pStyle w:val="ListParagraph"/>
        <w:numPr>
          <w:ilvl w:val="0"/>
          <w:numId w:val="25"/>
        </w:numPr>
        <w:rPr>
          <w:b/>
          <w:sz w:val="24"/>
          <w:szCs w:val="26"/>
          <w:lang w:val="en-US"/>
        </w:rPr>
      </w:pPr>
      <w:r w:rsidRPr="003F392C">
        <w:rPr>
          <w:b/>
          <w:sz w:val="24"/>
          <w:szCs w:val="26"/>
          <w:lang w:val="en-US"/>
        </w:rPr>
        <w:t>Reporting Procedure</w:t>
      </w:r>
    </w:p>
    <w:p w:rsidR="00C84C59" w:rsidRPr="003F392C" w:rsidRDefault="007D1B2F" w:rsidP="007D1B2F">
      <w:pPr>
        <w:rPr>
          <w:sz w:val="24"/>
          <w:szCs w:val="26"/>
          <w:lang w:val="en-US"/>
        </w:rPr>
      </w:pPr>
      <w:r w:rsidRPr="003F392C">
        <w:rPr>
          <w:sz w:val="24"/>
          <w:szCs w:val="26"/>
          <w:lang w:val="en-US"/>
        </w:rPr>
        <w:t xml:space="preserve">Employees </w:t>
      </w:r>
      <w:r w:rsidR="00C57D03" w:rsidRPr="003F392C">
        <w:rPr>
          <w:sz w:val="24"/>
          <w:szCs w:val="26"/>
          <w:lang w:val="en-US"/>
        </w:rPr>
        <w:t xml:space="preserve">and volunteers </w:t>
      </w:r>
      <w:r w:rsidRPr="003F392C">
        <w:rPr>
          <w:sz w:val="24"/>
          <w:szCs w:val="26"/>
          <w:lang w:val="en-US"/>
        </w:rPr>
        <w:t>should report concerns directly to their supervisor or to the next level of management until the concerns are satisfactorily resolved. However, if an employee</w:t>
      </w:r>
      <w:r w:rsidR="00C57D03" w:rsidRPr="003F392C">
        <w:rPr>
          <w:sz w:val="24"/>
          <w:szCs w:val="26"/>
          <w:lang w:val="en-US"/>
        </w:rPr>
        <w:t xml:space="preserve"> or volunteer</w:t>
      </w:r>
      <w:r w:rsidRPr="003F392C">
        <w:rPr>
          <w:sz w:val="24"/>
          <w:szCs w:val="26"/>
          <w:lang w:val="en-US"/>
        </w:rPr>
        <w:t xml:space="preserve"> is uncomfortable communicating with their supervisor </w:t>
      </w:r>
      <w:r w:rsidR="00C57D03" w:rsidRPr="003F392C">
        <w:rPr>
          <w:sz w:val="24"/>
          <w:szCs w:val="26"/>
          <w:lang w:val="en-US"/>
        </w:rPr>
        <w:t>or does not be</w:t>
      </w:r>
      <w:r w:rsidRPr="003F392C">
        <w:rPr>
          <w:sz w:val="24"/>
          <w:szCs w:val="26"/>
          <w:lang w:val="en-US"/>
        </w:rPr>
        <w:t xml:space="preserve">lieve the concern is being addressed </w:t>
      </w:r>
      <w:r w:rsidR="00C57D03" w:rsidRPr="003F392C">
        <w:rPr>
          <w:sz w:val="24"/>
          <w:szCs w:val="26"/>
          <w:lang w:val="en-US"/>
        </w:rPr>
        <w:t>appropriately</w:t>
      </w:r>
      <w:r w:rsidRPr="003F392C">
        <w:rPr>
          <w:sz w:val="24"/>
          <w:szCs w:val="26"/>
          <w:lang w:val="en-US"/>
        </w:rPr>
        <w:t>, the employee</w:t>
      </w:r>
      <w:r w:rsidR="00C57D03" w:rsidRPr="003F392C">
        <w:rPr>
          <w:sz w:val="24"/>
          <w:szCs w:val="26"/>
          <w:lang w:val="en-US"/>
        </w:rPr>
        <w:t xml:space="preserve"> or volunteer</w:t>
      </w:r>
      <w:r w:rsidRPr="003F392C">
        <w:rPr>
          <w:sz w:val="24"/>
          <w:szCs w:val="26"/>
          <w:lang w:val="en-US"/>
        </w:rPr>
        <w:t xml:space="preserve"> may report the issue to the </w:t>
      </w:r>
      <w:r w:rsidR="00067979">
        <w:rPr>
          <w:sz w:val="24"/>
          <w:szCs w:val="26"/>
          <w:lang w:val="en-US"/>
        </w:rPr>
        <w:t xml:space="preserve">Chair of the board of directors. </w:t>
      </w:r>
      <w:r w:rsidRPr="003F392C">
        <w:rPr>
          <w:sz w:val="24"/>
          <w:szCs w:val="26"/>
          <w:lang w:val="en-US"/>
        </w:rPr>
        <w:t xml:space="preserve">Employees </w:t>
      </w:r>
      <w:r w:rsidR="00C57D03" w:rsidRPr="003F392C">
        <w:rPr>
          <w:sz w:val="24"/>
          <w:szCs w:val="26"/>
          <w:lang w:val="en-US"/>
        </w:rPr>
        <w:t xml:space="preserve">and volunteers </w:t>
      </w:r>
      <w:r w:rsidRPr="003F392C">
        <w:rPr>
          <w:sz w:val="24"/>
          <w:szCs w:val="26"/>
          <w:lang w:val="en-US"/>
        </w:rPr>
        <w:t xml:space="preserve">are encouraged to report concerns in </w:t>
      </w:r>
      <w:r w:rsidR="00C57D03" w:rsidRPr="003F392C">
        <w:rPr>
          <w:sz w:val="24"/>
          <w:szCs w:val="26"/>
          <w:lang w:val="en-US"/>
        </w:rPr>
        <w:t xml:space="preserve">writing; </w:t>
      </w:r>
      <w:proofErr w:type="gramStart"/>
      <w:r w:rsidR="00C57D03" w:rsidRPr="003F392C">
        <w:rPr>
          <w:sz w:val="24"/>
          <w:szCs w:val="26"/>
          <w:lang w:val="en-US"/>
        </w:rPr>
        <w:t>however</w:t>
      </w:r>
      <w:proofErr w:type="gramEnd"/>
      <w:r w:rsidR="00C57D03" w:rsidRPr="003F392C">
        <w:rPr>
          <w:sz w:val="24"/>
          <w:szCs w:val="26"/>
          <w:lang w:val="en-US"/>
        </w:rPr>
        <w:t xml:space="preserve"> if the employee or volunteer chooses to make the report orally the person receiving the report shall take detailed written notes of the oral report.</w:t>
      </w:r>
    </w:p>
    <w:p w:rsidR="00C57D03" w:rsidRPr="003F392C" w:rsidRDefault="00C57D03" w:rsidP="007D1B2F">
      <w:pPr>
        <w:rPr>
          <w:sz w:val="24"/>
          <w:szCs w:val="26"/>
          <w:lang w:val="en-US"/>
        </w:rPr>
      </w:pPr>
    </w:p>
    <w:p w:rsidR="00C57D03" w:rsidRPr="003F392C" w:rsidRDefault="00C57D03" w:rsidP="007D1B2F">
      <w:pPr>
        <w:rPr>
          <w:sz w:val="24"/>
          <w:szCs w:val="26"/>
          <w:lang w:val="en-US"/>
        </w:rPr>
      </w:pPr>
      <w:r w:rsidRPr="003F392C">
        <w:rPr>
          <w:sz w:val="24"/>
          <w:szCs w:val="26"/>
          <w:lang w:val="en-US"/>
        </w:rPr>
        <w:t xml:space="preserve">Officers, directors, and individuals without a direct supervisor outside of the board of directors shall report concerns to the </w:t>
      </w:r>
      <w:r w:rsidR="00067979">
        <w:rPr>
          <w:sz w:val="24"/>
          <w:szCs w:val="26"/>
          <w:lang w:val="en-US"/>
        </w:rPr>
        <w:t>Chair of the board of directors</w:t>
      </w:r>
      <w:r w:rsidRPr="003F392C">
        <w:rPr>
          <w:sz w:val="24"/>
          <w:szCs w:val="26"/>
          <w:lang w:val="en-US"/>
        </w:rPr>
        <w:t xml:space="preserve">. If the person making the report is not comfortable reporting to this individual or if they do not believe the report is being address appropriately, they may report directly to the </w:t>
      </w:r>
      <w:r w:rsidR="00A366AF" w:rsidRPr="003F392C">
        <w:rPr>
          <w:sz w:val="24"/>
          <w:szCs w:val="26"/>
          <w:lang w:val="en-US"/>
        </w:rPr>
        <w:t>Executive Director</w:t>
      </w:r>
      <w:r w:rsidRPr="003F392C">
        <w:rPr>
          <w:sz w:val="24"/>
          <w:szCs w:val="26"/>
          <w:lang w:val="en-US"/>
        </w:rPr>
        <w:t>, or any other board member</w:t>
      </w:r>
      <w:r w:rsidR="00A366AF" w:rsidRPr="003F392C">
        <w:rPr>
          <w:sz w:val="24"/>
          <w:szCs w:val="26"/>
          <w:lang w:val="en-US"/>
        </w:rPr>
        <w:t xml:space="preserve"> </w:t>
      </w:r>
      <w:r w:rsidRPr="003F392C">
        <w:rPr>
          <w:sz w:val="24"/>
          <w:szCs w:val="26"/>
          <w:lang w:val="en-US"/>
        </w:rPr>
        <w:t>as appropriate.</w:t>
      </w:r>
    </w:p>
    <w:p w:rsidR="007512B1" w:rsidRPr="003F392C" w:rsidRDefault="007512B1">
      <w:pPr>
        <w:jc w:val="left"/>
        <w:rPr>
          <w:sz w:val="24"/>
          <w:szCs w:val="26"/>
          <w:lang w:val="en-US"/>
        </w:rPr>
      </w:pPr>
    </w:p>
    <w:p w:rsidR="00F96870" w:rsidRPr="003F392C" w:rsidRDefault="00F96870" w:rsidP="00C84C59">
      <w:pPr>
        <w:pStyle w:val="ListParagraph"/>
        <w:numPr>
          <w:ilvl w:val="0"/>
          <w:numId w:val="25"/>
        </w:numPr>
        <w:rPr>
          <w:b/>
          <w:sz w:val="24"/>
          <w:szCs w:val="26"/>
          <w:lang w:val="en-US"/>
        </w:rPr>
      </w:pPr>
      <w:r w:rsidRPr="003F392C">
        <w:rPr>
          <w:b/>
          <w:sz w:val="24"/>
          <w:szCs w:val="26"/>
          <w:lang w:val="en-US"/>
        </w:rPr>
        <w:t>Handling of Reports</w:t>
      </w:r>
    </w:p>
    <w:p w:rsidR="000C3B18" w:rsidRPr="003F392C" w:rsidRDefault="007D1B2F" w:rsidP="000C3B18">
      <w:pPr>
        <w:rPr>
          <w:sz w:val="24"/>
          <w:szCs w:val="26"/>
          <w:lang w:val="en-US"/>
        </w:rPr>
      </w:pPr>
      <w:r w:rsidRPr="003F392C">
        <w:rPr>
          <w:sz w:val="24"/>
          <w:szCs w:val="26"/>
          <w:lang w:val="en-US"/>
        </w:rPr>
        <w:t>R</w:t>
      </w:r>
      <w:r w:rsidR="000C3B18" w:rsidRPr="003F392C">
        <w:rPr>
          <w:sz w:val="24"/>
          <w:szCs w:val="26"/>
          <w:lang w:val="en-US"/>
        </w:rPr>
        <w:t xml:space="preserve">eports </w:t>
      </w:r>
      <w:r w:rsidRPr="003F392C">
        <w:rPr>
          <w:sz w:val="24"/>
          <w:szCs w:val="26"/>
          <w:lang w:val="en-US"/>
        </w:rPr>
        <w:t xml:space="preserve">under this Policy will be taken seriously and investigated promptly. The </w:t>
      </w:r>
      <w:r w:rsidR="00A366AF" w:rsidRPr="003F392C">
        <w:rPr>
          <w:sz w:val="24"/>
          <w:szCs w:val="26"/>
          <w:lang w:val="en-US"/>
        </w:rPr>
        <w:t>LTABC</w:t>
      </w:r>
      <w:r w:rsidRPr="003F392C">
        <w:rPr>
          <w:sz w:val="24"/>
          <w:szCs w:val="26"/>
          <w:lang w:val="en-US"/>
        </w:rPr>
        <w:t xml:space="preserve"> will maintain the confidentiality of reports to the extent feasible in light of its need to investigate and take applicable corrective action. Appropriate corrective action, up to and including termination, will be taken if warranted by the investigation into the reported conduct or for violations of this Policy.</w:t>
      </w:r>
    </w:p>
    <w:p w:rsidR="007512B1" w:rsidRPr="003F392C" w:rsidRDefault="007512B1">
      <w:pPr>
        <w:jc w:val="left"/>
        <w:rPr>
          <w:sz w:val="24"/>
          <w:szCs w:val="26"/>
          <w:lang w:val="en-US"/>
        </w:rPr>
      </w:pPr>
    </w:p>
    <w:p w:rsidR="00C84C59" w:rsidRPr="003F392C" w:rsidRDefault="00C84C59" w:rsidP="00067979">
      <w:pPr>
        <w:pStyle w:val="ListParagraph"/>
        <w:keepNext/>
        <w:numPr>
          <w:ilvl w:val="0"/>
          <w:numId w:val="25"/>
        </w:numPr>
        <w:ind w:left="714" w:hanging="357"/>
        <w:rPr>
          <w:b/>
          <w:sz w:val="24"/>
          <w:szCs w:val="26"/>
          <w:lang w:val="en-US"/>
        </w:rPr>
      </w:pPr>
      <w:r w:rsidRPr="003F392C">
        <w:rPr>
          <w:b/>
          <w:sz w:val="24"/>
          <w:szCs w:val="26"/>
          <w:lang w:val="en-US"/>
        </w:rPr>
        <w:lastRenderedPageBreak/>
        <w:t>Prohibition on Retaliation</w:t>
      </w:r>
    </w:p>
    <w:p w:rsidR="00874A18" w:rsidRPr="003F392C" w:rsidRDefault="00874A18" w:rsidP="00874A18">
      <w:pPr>
        <w:rPr>
          <w:sz w:val="24"/>
          <w:szCs w:val="26"/>
          <w:lang w:val="en-US"/>
        </w:rPr>
      </w:pPr>
      <w:r w:rsidRPr="003F392C">
        <w:rPr>
          <w:sz w:val="24"/>
          <w:szCs w:val="26"/>
          <w:lang w:val="en-US"/>
        </w:rPr>
        <w:t xml:space="preserve">The </w:t>
      </w:r>
      <w:r w:rsidR="00A366AF" w:rsidRPr="003F392C">
        <w:rPr>
          <w:sz w:val="24"/>
          <w:szCs w:val="26"/>
          <w:lang w:val="en-US"/>
        </w:rPr>
        <w:t>LTABC</w:t>
      </w:r>
      <w:r w:rsidRPr="003F392C">
        <w:rPr>
          <w:sz w:val="24"/>
          <w:szCs w:val="26"/>
          <w:lang w:val="en-US"/>
        </w:rPr>
        <w:t xml:space="preserve"> will not permit any employees, members or volunteers to harass, retaliate or discriminate against those other employees, volunteers, contractors and stakeholders (the Complainant) who, in good faith, report a Reportable Activity. Retaliation in any form will not be tolerated and should be reported using the channels detailed in the Policy.</w:t>
      </w:r>
      <w:r w:rsidR="007512B1" w:rsidRPr="003F392C">
        <w:rPr>
          <w:sz w:val="24"/>
          <w:szCs w:val="26"/>
          <w:lang w:val="en-US"/>
        </w:rPr>
        <w:t xml:space="preserve"> </w:t>
      </w:r>
      <w:r w:rsidRPr="003F392C">
        <w:rPr>
          <w:sz w:val="24"/>
          <w:szCs w:val="26"/>
          <w:lang w:val="en-US"/>
        </w:rPr>
        <w:t>Any violation of this policy may subject the violator to disciplinary action, which may include, in appropriate circumstances, termination of employment or contract, or legal action.</w:t>
      </w:r>
    </w:p>
    <w:p w:rsidR="007512B1" w:rsidRPr="003F392C" w:rsidRDefault="007512B1">
      <w:pPr>
        <w:jc w:val="left"/>
        <w:rPr>
          <w:sz w:val="24"/>
          <w:szCs w:val="26"/>
          <w:lang w:val="en-US"/>
        </w:rPr>
      </w:pPr>
    </w:p>
    <w:p w:rsidR="00C84C59" w:rsidRPr="003F392C" w:rsidRDefault="00C84C59" w:rsidP="00C84C59">
      <w:pPr>
        <w:pStyle w:val="ListParagraph"/>
        <w:numPr>
          <w:ilvl w:val="0"/>
          <w:numId w:val="25"/>
        </w:numPr>
        <w:rPr>
          <w:b/>
          <w:sz w:val="24"/>
          <w:szCs w:val="26"/>
          <w:lang w:val="en-US"/>
        </w:rPr>
      </w:pPr>
      <w:r w:rsidRPr="003F392C">
        <w:rPr>
          <w:b/>
          <w:sz w:val="24"/>
          <w:szCs w:val="26"/>
          <w:lang w:val="en-US"/>
        </w:rPr>
        <w:t>Duty to Act in Good Faith</w:t>
      </w:r>
    </w:p>
    <w:p w:rsidR="00874A18" w:rsidRPr="003F392C" w:rsidRDefault="00874A18" w:rsidP="007512B1">
      <w:pPr>
        <w:rPr>
          <w:sz w:val="24"/>
          <w:szCs w:val="26"/>
          <w:lang w:val="en-US"/>
        </w:rPr>
      </w:pPr>
      <w:r w:rsidRPr="003F392C">
        <w:rPr>
          <w:sz w:val="24"/>
          <w:szCs w:val="26"/>
          <w:lang w:val="en-US"/>
        </w:rPr>
        <w:t xml:space="preserve">Anyone who reports a Reportable Activity must be acting in good faith. Allegations that are not made in good faith will be viewed as a serious offence and may be subject to discipline up to and including discharge in the case of employees, and/or the severing of the relationship with members, </w:t>
      </w:r>
      <w:bookmarkStart w:id="0" w:name="_GoBack"/>
      <w:bookmarkEnd w:id="0"/>
      <w:r w:rsidRPr="003F392C">
        <w:rPr>
          <w:sz w:val="24"/>
          <w:szCs w:val="26"/>
          <w:lang w:val="en-US"/>
        </w:rPr>
        <w:t>volunteers, contractors or other stakeholders.</w:t>
      </w:r>
    </w:p>
    <w:sectPr w:rsidR="00874A18" w:rsidRPr="003F392C" w:rsidSect="003F392C">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515" w:rsidRDefault="009A0515" w:rsidP="00A366AF">
      <w:r>
        <w:separator/>
      </w:r>
    </w:p>
  </w:endnote>
  <w:endnote w:type="continuationSeparator" w:id="0">
    <w:p w:rsidR="009A0515" w:rsidRDefault="009A0515" w:rsidP="00A3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515" w:rsidRDefault="009A0515" w:rsidP="00A366AF">
      <w:r>
        <w:separator/>
      </w:r>
    </w:p>
  </w:footnote>
  <w:footnote w:type="continuationSeparator" w:id="0">
    <w:p w:rsidR="009A0515" w:rsidRDefault="009A0515" w:rsidP="00A366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6AF" w:rsidRPr="00A366AF" w:rsidRDefault="00A366AF">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FFC"/>
    <w:multiLevelType w:val="hybridMultilevel"/>
    <w:tmpl w:val="E110D7E4"/>
    <w:lvl w:ilvl="0" w:tplc="4F18B43C">
      <w:start w:val="1"/>
      <w:numFmt w:val="decimal"/>
      <w:pStyle w:val="NumberedParagraphsMultilevel"/>
      <w:lvlText w:val="%1."/>
      <w:lvlJc w:val="left"/>
      <w:pPr>
        <w:ind w:left="720" w:hanging="360"/>
      </w:pPr>
      <w:rPr>
        <w:rFonts w:ascii="Times New Roman" w:hAnsi="Times New Roman" w:hint="default"/>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851F36"/>
    <w:multiLevelType w:val="hybridMultilevel"/>
    <w:tmpl w:val="3894E32A"/>
    <w:lvl w:ilvl="0" w:tplc="67DE2894">
      <w:start w:val="1"/>
      <w:numFmt w:val="decimal"/>
      <w:pStyle w:val="ListParagraph"/>
      <w:lvlText w:val="%1."/>
      <w:lvlJc w:val="left"/>
      <w:pPr>
        <w:ind w:left="360" w:hanging="360"/>
      </w:pPr>
      <w:rPr>
        <w:rFonts w:ascii="Times New Roman" w:hAnsi="Times New Roman" w:hint="default"/>
        <w:sz w:val="2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A075BB9"/>
    <w:multiLevelType w:val="multilevel"/>
    <w:tmpl w:val="EA46151E"/>
    <w:lvl w:ilvl="0">
      <w:start w:val="1"/>
      <w:numFmt w:val="decimal"/>
      <w:pStyle w:val="will"/>
      <w:lvlText w:val="%1."/>
      <w:lvlJc w:val="left"/>
      <w:pPr>
        <w:tabs>
          <w:tab w:val="num" w:pos="360"/>
        </w:tabs>
        <w:ind w:left="0" w:firstLine="0"/>
      </w:pPr>
    </w:lvl>
    <w:lvl w:ilvl="1">
      <w:start w:val="1"/>
      <w:numFmt w:val="lowerLetter"/>
      <w:lvlText w:val="(%2)"/>
      <w:lvlJc w:val="left"/>
      <w:pPr>
        <w:tabs>
          <w:tab w:val="num" w:pos="1080"/>
        </w:tabs>
        <w:ind w:left="1080" w:hanging="1080"/>
      </w:pPr>
    </w:lvl>
    <w:lvl w:ilvl="2">
      <w:start w:val="1"/>
      <w:numFmt w:val="lowerRoman"/>
      <w:lvlText w:val="%3)"/>
      <w:lvlJc w:val="left"/>
      <w:pPr>
        <w:tabs>
          <w:tab w:val="num" w:pos="1800"/>
        </w:tabs>
        <w:ind w:left="1800" w:hanging="720"/>
      </w:pPr>
    </w:lvl>
    <w:lvl w:ilvl="3">
      <w:start w:val="1"/>
      <w:numFmt w:val="upperLetter"/>
      <w:lvlText w:val="%4)"/>
      <w:lvlJc w:val="left"/>
      <w:pPr>
        <w:tabs>
          <w:tab w:val="num" w:pos="2520"/>
        </w:tabs>
        <w:ind w:left="2520" w:hanging="720"/>
      </w:pPr>
    </w:lvl>
    <w:lvl w:ilvl="4">
      <w:start w:val="1"/>
      <w:numFmt w:val="upperRoman"/>
      <w:lvlText w:val="%5)"/>
      <w:lvlJc w:val="left"/>
      <w:pPr>
        <w:tabs>
          <w:tab w:val="num" w:pos="3240"/>
        </w:tabs>
        <w:ind w:left="324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A55857"/>
    <w:multiLevelType w:val="multilevel"/>
    <w:tmpl w:val="35FEB82A"/>
    <w:styleLink w:val="MJBNumbering"/>
    <w:lvl w:ilvl="0">
      <w:start w:val="1"/>
      <w:numFmt w:val="decimal"/>
      <w:lvlText w:val="%1."/>
      <w:lvlJc w:val="left"/>
      <w:pPr>
        <w:ind w:left="360" w:hanging="360"/>
      </w:pPr>
      <w:rPr>
        <w:rFonts w:ascii="Times New Roman" w:hAnsi="Times New Roman" w:hint="default"/>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5310D3"/>
    <w:multiLevelType w:val="hybridMultilevel"/>
    <w:tmpl w:val="67824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3A6FCF"/>
    <w:multiLevelType w:val="hybridMultilevel"/>
    <w:tmpl w:val="618A6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8B7402"/>
    <w:multiLevelType w:val="hybridMultilevel"/>
    <w:tmpl w:val="20C6A6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B8E7A22"/>
    <w:multiLevelType w:val="hybridMultilevel"/>
    <w:tmpl w:val="8C98365C"/>
    <w:lvl w:ilvl="0" w:tplc="BABA0374">
      <w:start w:val="1"/>
      <w:numFmt w:val="decimal"/>
      <w:lvlText w:val="%1."/>
      <w:lvlJc w:val="left"/>
      <w:pPr>
        <w:ind w:left="720" w:hanging="360"/>
      </w:pPr>
      <w:rPr>
        <w:rFonts w:ascii="Times New Roman" w:hAnsi="Times New Roman" w:hint="default"/>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32F15FF"/>
    <w:multiLevelType w:val="hybridMultilevel"/>
    <w:tmpl w:val="ED8258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7"/>
  </w:num>
  <w:num w:numId="20">
    <w:abstractNumId w:val="1"/>
  </w:num>
  <w:num w:numId="21">
    <w:abstractNumId w:val="1"/>
  </w:num>
  <w:num w:numId="22">
    <w:abstractNumId w:val="1"/>
  </w:num>
  <w:num w:numId="23">
    <w:abstractNumId w:val="1"/>
  </w:num>
  <w:num w:numId="24">
    <w:abstractNumId w:val="0"/>
  </w:num>
  <w:num w:numId="25">
    <w:abstractNumId w:val="6"/>
  </w:num>
  <w:num w:numId="26">
    <w:abstractNumId w:val="8"/>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AB"/>
    <w:rsid w:val="00010996"/>
    <w:rsid w:val="000176D0"/>
    <w:rsid w:val="00032947"/>
    <w:rsid w:val="00067979"/>
    <w:rsid w:val="00095CB9"/>
    <w:rsid w:val="000C3B18"/>
    <w:rsid w:val="000D4836"/>
    <w:rsid w:val="00116451"/>
    <w:rsid w:val="00121788"/>
    <w:rsid w:val="00155031"/>
    <w:rsid w:val="00176390"/>
    <w:rsid w:val="001843AB"/>
    <w:rsid w:val="001B54C8"/>
    <w:rsid w:val="001C0594"/>
    <w:rsid w:val="001C4852"/>
    <w:rsid w:val="001D4660"/>
    <w:rsid w:val="001D491B"/>
    <w:rsid w:val="001D7A4C"/>
    <w:rsid w:val="002117CB"/>
    <w:rsid w:val="002338D5"/>
    <w:rsid w:val="00240573"/>
    <w:rsid w:val="00247146"/>
    <w:rsid w:val="00247B7D"/>
    <w:rsid w:val="002651A9"/>
    <w:rsid w:val="00276743"/>
    <w:rsid w:val="00277762"/>
    <w:rsid w:val="002B52AD"/>
    <w:rsid w:val="002E2917"/>
    <w:rsid w:val="002F0457"/>
    <w:rsid w:val="00343D01"/>
    <w:rsid w:val="00376E51"/>
    <w:rsid w:val="00383F4D"/>
    <w:rsid w:val="003B1B71"/>
    <w:rsid w:val="003B54DB"/>
    <w:rsid w:val="003E1ACC"/>
    <w:rsid w:val="003F392C"/>
    <w:rsid w:val="00402CB9"/>
    <w:rsid w:val="00427057"/>
    <w:rsid w:val="004549BD"/>
    <w:rsid w:val="004A29C8"/>
    <w:rsid w:val="004C6747"/>
    <w:rsid w:val="004F5ED0"/>
    <w:rsid w:val="00514698"/>
    <w:rsid w:val="0054284A"/>
    <w:rsid w:val="0054343E"/>
    <w:rsid w:val="0057475B"/>
    <w:rsid w:val="005871C8"/>
    <w:rsid w:val="005D3D83"/>
    <w:rsid w:val="005F05A8"/>
    <w:rsid w:val="00633CEB"/>
    <w:rsid w:val="00633D90"/>
    <w:rsid w:val="00671092"/>
    <w:rsid w:val="00676984"/>
    <w:rsid w:val="00680259"/>
    <w:rsid w:val="00691B69"/>
    <w:rsid w:val="006F22BB"/>
    <w:rsid w:val="006F4B74"/>
    <w:rsid w:val="00726DA9"/>
    <w:rsid w:val="007512B1"/>
    <w:rsid w:val="00761089"/>
    <w:rsid w:val="0077004C"/>
    <w:rsid w:val="00776F35"/>
    <w:rsid w:val="007B6757"/>
    <w:rsid w:val="007D1B2F"/>
    <w:rsid w:val="007E5AE9"/>
    <w:rsid w:val="007F4548"/>
    <w:rsid w:val="007F75C7"/>
    <w:rsid w:val="008130D4"/>
    <w:rsid w:val="00831B5D"/>
    <w:rsid w:val="00874A18"/>
    <w:rsid w:val="008C0647"/>
    <w:rsid w:val="008C5441"/>
    <w:rsid w:val="008F395B"/>
    <w:rsid w:val="008F40B3"/>
    <w:rsid w:val="00902222"/>
    <w:rsid w:val="00924688"/>
    <w:rsid w:val="00944550"/>
    <w:rsid w:val="00950346"/>
    <w:rsid w:val="00995869"/>
    <w:rsid w:val="009A0515"/>
    <w:rsid w:val="009F7733"/>
    <w:rsid w:val="00A05FA6"/>
    <w:rsid w:val="00A12E66"/>
    <w:rsid w:val="00A20D6E"/>
    <w:rsid w:val="00A366AF"/>
    <w:rsid w:val="00A43819"/>
    <w:rsid w:val="00A63D51"/>
    <w:rsid w:val="00A664F6"/>
    <w:rsid w:val="00A92078"/>
    <w:rsid w:val="00AC7A46"/>
    <w:rsid w:val="00AD63CE"/>
    <w:rsid w:val="00AE66C6"/>
    <w:rsid w:val="00AF34A6"/>
    <w:rsid w:val="00AF5688"/>
    <w:rsid w:val="00BA3CFB"/>
    <w:rsid w:val="00C30E89"/>
    <w:rsid w:val="00C57D03"/>
    <w:rsid w:val="00C660B3"/>
    <w:rsid w:val="00C80354"/>
    <w:rsid w:val="00C84C59"/>
    <w:rsid w:val="00CA2A6D"/>
    <w:rsid w:val="00CA7B75"/>
    <w:rsid w:val="00CB7864"/>
    <w:rsid w:val="00CC6E20"/>
    <w:rsid w:val="00CD4351"/>
    <w:rsid w:val="00CE34F3"/>
    <w:rsid w:val="00D158EF"/>
    <w:rsid w:val="00D46AA1"/>
    <w:rsid w:val="00D661B2"/>
    <w:rsid w:val="00D72A02"/>
    <w:rsid w:val="00DA1332"/>
    <w:rsid w:val="00DD3CEA"/>
    <w:rsid w:val="00E00397"/>
    <w:rsid w:val="00E633BE"/>
    <w:rsid w:val="00E63DEF"/>
    <w:rsid w:val="00E67408"/>
    <w:rsid w:val="00E73375"/>
    <w:rsid w:val="00EB140C"/>
    <w:rsid w:val="00EB2AB7"/>
    <w:rsid w:val="00EC064D"/>
    <w:rsid w:val="00EF7EC6"/>
    <w:rsid w:val="00F0646A"/>
    <w:rsid w:val="00F319E0"/>
    <w:rsid w:val="00F601CF"/>
    <w:rsid w:val="00F72AED"/>
    <w:rsid w:val="00F74B9C"/>
    <w:rsid w:val="00F96870"/>
    <w:rsid w:val="00FA6E99"/>
    <w:rsid w:val="00FC7B32"/>
    <w:rsid w:val="00FF6D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1E03D"/>
  <w15:chartTrackingRefBased/>
  <w15:docId w15:val="{26D31ED5-C13D-44D8-8FCD-F9B92B61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1A9"/>
    <w:pPr>
      <w:jc w:val="both"/>
    </w:pPr>
    <w:rPr>
      <w:sz w:val="26"/>
      <w:lang w:eastAsia="en-US"/>
    </w:rPr>
  </w:style>
  <w:style w:type="paragraph" w:styleId="Heading1">
    <w:name w:val="heading 1"/>
    <w:basedOn w:val="Normal"/>
    <w:next w:val="Normal"/>
    <w:link w:val="Heading1Char"/>
    <w:qFormat/>
    <w:rsid w:val="00FA6E99"/>
    <w:pPr>
      <w:keepNext/>
      <w:keepLines/>
      <w:spacing w:before="240" w:after="240"/>
      <w:outlineLvl w:val="0"/>
    </w:pPr>
    <w:rPr>
      <w:rFonts w:ascii="Times New Roman Bold" w:eastAsiaTheme="majorEastAsia" w:hAnsi="Times New Roman Bold"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ll">
    <w:name w:val="will"/>
    <w:pPr>
      <w:numPr>
        <w:numId w:val="17"/>
      </w:numPr>
      <w:tabs>
        <w:tab w:val="clear" w:pos="360"/>
        <w:tab w:val="left" w:pos="1080"/>
      </w:tabs>
      <w:spacing w:line="360" w:lineRule="auto"/>
      <w:jc w:val="both"/>
    </w:pPr>
    <w:rPr>
      <w:rFonts w:ascii="Arial" w:hAnsi="Arial"/>
      <w:sz w:val="24"/>
      <w:lang w:val="en-US" w:eastAsia="en-US"/>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odyText">
    <w:name w:val="Body Text"/>
    <w:basedOn w:val="Normal"/>
    <w:pPr>
      <w:suppressAutoHyphens/>
    </w:pPr>
    <w:rPr>
      <w:rFonts w:ascii="Arial" w:hAnsi="Arial"/>
      <w:snapToGrid w:val="0"/>
      <w:spacing w:val="-3"/>
      <w:lang w:val="en-US"/>
    </w:rPr>
  </w:style>
  <w:style w:type="numbering" w:customStyle="1" w:styleId="MJBNumbering">
    <w:name w:val="MJB Numbering"/>
    <w:uiPriority w:val="99"/>
    <w:rsid w:val="00383F4D"/>
    <w:pPr>
      <w:numPr>
        <w:numId w:val="18"/>
      </w:numPr>
    </w:pPr>
  </w:style>
  <w:style w:type="character" w:customStyle="1" w:styleId="Heading1Char">
    <w:name w:val="Heading 1 Char"/>
    <w:basedOn w:val="DefaultParagraphFont"/>
    <w:link w:val="Heading1"/>
    <w:rsid w:val="00FA6E99"/>
    <w:rPr>
      <w:rFonts w:ascii="Times New Roman Bold" w:eastAsiaTheme="majorEastAsia" w:hAnsi="Times New Roman Bold" w:cstheme="majorBidi"/>
      <w:b/>
      <w:sz w:val="26"/>
      <w:szCs w:val="32"/>
      <w:lang w:eastAsia="en-US"/>
    </w:rPr>
  </w:style>
  <w:style w:type="paragraph" w:styleId="Quote">
    <w:name w:val="Quote"/>
    <w:basedOn w:val="Normal"/>
    <w:next w:val="Normal"/>
    <w:link w:val="QuoteChar"/>
    <w:uiPriority w:val="29"/>
    <w:qFormat/>
    <w:rsid w:val="00FA6E99"/>
    <w:pPr>
      <w:spacing w:before="240" w:after="240"/>
      <w:ind w:left="864" w:right="864"/>
    </w:pPr>
    <w:rPr>
      <w:iCs/>
      <w:color w:val="404040" w:themeColor="text1" w:themeTint="BF"/>
    </w:rPr>
  </w:style>
  <w:style w:type="character" w:customStyle="1" w:styleId="QuoteChar">
    <w:name w:val="Quote Char"/>
    <w:basedOn w:val="DefaultParagraphFont"/>
    <w:link w:val="Quote"/>
    <w:uiPriority w:val="29"/>
    <w:rsid w:val="00FA6E99"/>
    <w:rPr>
      <w:iCs/>
      <w:color w:val="404040" w:themeColor="text1" w:themeTint="BF"/>
      <w:sz w:val="26"/>
      <w:lang w:eastAsia="en-US"/>
    </w:rPr>
  </w:style>
  <w:style w:type="character" w:styleId="Emphasis">
    <w:name w:val="Emphasis"/>
    <w:basedOn w:val="DefaultParagraphFont"/>
    <w:qFormat/>
    <w:rsid w:val="00FA6E99"/>
    <w:rPr>
      <w:rFonts w:ascii="Times New Roman" w:hAnsi="Times New Roman"/>
      <w:i/>
      <w:iCs/>
      <w:sz w:val="26"/>
    </w:rPr>
  </w:style>
  <w:style w:type="character" w:styleId="Strong">
    <w:name w:val="Strong"/>
    <w:basedOn w:val="DefaultParagraphFont"/>
    <w:qFormat/>
    <w:rsid w:val="00FA6E99"/>
    <w:rPr>
      <w:rFonts w:ascii="Times New Roman Bold" w:hAnsi="Times New Roman Bold"/>
      <w:b/>
      <w:bCs/>
      <w:caps w:val="0"/>
      <w:smallCaps w:val="0"/>
      <w:strike w:val="0"/>
      <w:dstrike w:val="0"/>
      <w:vanish w:val="0"/>
      <w:sz w:val="26"/>
      <w:vertAlign w:val="baseline"/>
    </w:rPr>
  </w:style>
  <w:style w:type="paragraph" w:styleId="Title">
    <w:name w:val="Title"/>
    <w:basedOn w:val="Normal"/>
    <w:next w:val="Normal"/>
    <w:link w:val="TitleChar"/>
    <w:qFormat/>
    <w:rsid w:val="00FA6E99"/>
    <w:pPr>
      <w:spacing w:after="240"/>
      <w:contextualSpacing/>
    </w:pPr>
    <w:rPr>
      <w:rFonts w:ascii="Times New Roman Bold" w:eastAsiaTheme="majorEastAsia" w:hAnsi="Times New Roman Bold" w:cstheme="majorBidi"/>
      <w:b/>
      <w:szCs w:val="56"/>
      <w:u w:val="single"/>
    </w:rPr>
  </w:style>
  <w:style w:type="character" w:customStyle="1" w:styleId="TitleChar">
    <w:name w:val="Title Char"/>
    <w:basedOn w:val="DefaultParagraphFont"/>
    <w:link w:val="Title"/>
    <w:rsid w:val="00FA6E99"/>
    <w:rPr>
      <w:rFonts w:ascii="Times New Roman Bold" w:eastAsiaTheme="majorEastAsia" w:hAnsi="Times New Roman Bold" w:cstheme="majorBidi"/>
      <w:b/>
      <w:sz w:val="26"/>
      <w:szCs w:val="56"/>
      <w:u w:val="single"/>
      <w:lang w:eastAsia="en-US"/>
    </w:rPr>
  </w:style>
  <w:style w:type="paragraph" w:styleId="Subtitle">
    <w:name w:val="Subtitle"/>
    <w:basedOn w:val="Normal"/>
    <w:next w:val="Normal"/>
    <w:link w:val="SubtitleChar"/>
    <w:qFormat/>
    <w:rsid w:val="00FA6E99"/>
    <w:pPr>
      <w:numPr>
        <w:ilvl w:val="1"/>
      </w:numPr>
      <w:spacing w:after="160"/>
    </w:pPr>
    <w:rPr>
      <w:rFonts w:ascii="Times New Roman Bold" w:eastAsiaTheme="minorEastAsia" w:hAnsi="Times New Roman Bold" w:cstheme="minorBidi"/>
      <w:b/>
      <w:color w:val="5A5A5A" w:themeColor="text1" w:themeTint="A5"/>
      <w:spacing w:val="15"/>
      <w:szCs w:val="22"/>
    </w:rPr>
  </w:style>
  <w:style w:type="character" w:customStyle="1" w:styleId="SubtitleChar">
    <w:name w:val="Subtitle Char"/>
    <w:basedOn w:val="DefaultParagraphFont"/>
    <w:link w:val="Subtitle"/>
    <w:rsid w:val="00FA6E99"/>
    <w:rPr>
      <w:rFonts w:ascii="Times New Roman Bold" w:eastAsiaTheme="minorEastAsia" w:hAnsi="Times New Roman Bold" w:cstheme="minorBidi"/>
      <w:b/>
      <w:color w:val="5A5A5A" w:themeColor="text1" w:themeTint="A5"/>
      <w:spacing w:val="15"/>
      <w:sz w:val="26"/>
      <w:szCs w:val="22"/>
      <w:lang w:eastAsia="en-US"/>
    </w:rPr>
  </w:style>
  <w:style w:type="character" w:styleId="SubtleEmphasis">
    <w:name w:val="Subtle Emphasis"/>
    <w:basedOn w:val="DefaultParagraphFont"/>
    <w:uiPriority w:val="19"/>
    <w:qFormat/>
    <w:rsid w:val="00FA6E99"/>
    <w:rPr>
      <w:rFonts w:ascii="Times New Roman" w:hAnsi="Times New Roman"/>
      <w:i/>
      <w:iCs/>
      <w:caps w:val="0"/>
      <w:smallCaps w:val="0"/>
      <w:strike w:val="0"/>
      <w:dstrike w:val="0"/>
      <w:vanish w:val="0"/>
      <w:color w:val="404040" w:themeColor="text1" w:themeTint="BF"/>
      <w:sz w:val="26"/>
      <w:vertAlign w:val="baseline"/>
    </w:rPr>
  </w:style>
  <w:style w:type="paragraph" w:styleId="IntenseQuote">
    <w:name w:val="Intense Quote"/>
    <w:basedOn w:val="Normal"/>
    <w:next w:val="Normal"/>
    <w:link w:val="IntenseQuoteChar"/>
    <w:uiPriority w:val="30"/>
    <w:qFormat/>
    <w:rsid w:val="00427057"/>
    <w:pPr>
      <w:pBdr>
        <w:top w:val="single" w:sz="4" w:space="10" w:color="5B9BD5" w:themeColor="accent1"/>
        <w:bottom w:val="single" w:sz="4" w:space="10" w:color="5B9BD5" w:themeColor="accent1"/>
      </w:pBdr>
      <w:spacing w:before="240" w:after="240"/>
      <w:ind w:left="720" w:right="720"/>
      <w:jc w:val="center"/>
    </w:pPr>
    <w:rPr>
      <w:i/>
      <w:iCs/>
    </w:rPr>
  </w:style>
  <w:style w:type="character" w:customStyle="1" w:styleId="IntenseQuoteChar">
    <w:name w:val="Intense Quote Char"/>
    <w:basedOn w:val="DefaultParagraphFont"/>
    <w:link w:val="IntenseQuote"/>
    <w:uiPriority w:val="30"/>
    <w:rsid w:val="00427057"/>
    <w:rPr>
      <w:i/>
      <w:iCs/>
      <w:sz w:val="26"/>
      <w:lang w:eastAsia="en-US"/>
    </w:rPr>
  </w:style>
  <w:style w:type="paragraph" w:styleId="ListParagraph">
    <w:name w:val="List Paragraph"/>
    <w:aliases w:val="Numbered Paragraphs"/>
    <w:basedOn w:val="Normal"/>
    <w:uiPriority w:val="34"/>
    <w:qFormat/>
    <w:rsid w:val="00427057"/>
    <w:pPr>
      <w:numPr>
        <w:numId w:val="23"/>
      </w:numPr>
      <w:spacing w:after="240"/>
    </w:pPr>
  </w:style>
  <w:style w:type="character" w:styleId="IntenseReference">
    <w:name w:val="Intense Reference"/>
    <w:basedOn w:val="DefaultParagraphFont"/>
    <w:uiPriority w:val="32"/>
    <w:qFormat/>
    <w:rsid w:val="00427057"/>
    <w:rPr>
      <w:rFonts w:ascii="Times New Roman Bold" w:hAnsi="Times New Roman Bold"/>
      <w:b/>
      <w:bCs/>
      <w:caps w:val="0"/>
      <w:smallCaps w:val="0"/>
      <w:color w:val="auto"/>
      <w:spacing w:val="0"/>
      <w:sz w:val="26"/>
    </w:rPr>
  </w:style>
  <w:style w:type="character" w:styleId="BookTitle">
    <w:name w:val="Book Title"/>
    <w:basedOn w:val="DefaultParagraphFont"/>
    <w:uiPriority w:val="33"/>
    <w:qFormat/>
    <w:rsid w:val="00427057"/>
    <w:rPr>
      <w:rFonts w:ascii="Times New Roman Bold" w:hAnsi="Times New Roman Bold"/>
      <w:b/>
      <w:bCs/>
      <w:i/>
      <w:iCs/>
      <w:color w:val="auto"/>
      <w:spacing w:val="0"/>
      <w:sz w:val="26"/>
    </w:rPr>
  </w:style>
  <w:style w:type="paragraph" w:customStyle="1" w:styleId="NumberedParagraphsMultilevel">
    <w:name w:val="Numbered Paragraphs Multilevel"/>
    <w:basedOn w:val="Normal"/>
    <w:qFormat/>
    <w:rsid w:val="00427057"/>
    <w:pPr>
      <w:numPr>
        <w:numId w:val="24"/>
      </w:numPr>
      <w:spacing w:before="240" w:after="240"/>
    </w:pPr>
    <w:rPr>
      <w:szCs w:val="26"/>
    </w:rPr>
  </w:style>
  <w:style w:type="paragraph" w:styleId="Header">
    <w:name w:val="header"/>
    <w:basedOn w:val="Normal"/>
    <w:link w:val="HeaderChar"/>
    <w:uiPriority w:val="99"/>
    <w:rsid w:val="00A366AF"/>
    <w:pPr>
      <w:tabs>
        <w:tab w:val="center" w:pos="4680"/>
        <w:tab w:val="right" w:pos="9360"/>
      </w:tabs>
    </w:pPr>
  </w:style>
  <w:style w:type="character" w:customStyle="1" w:styleId="HeaderChar">
    <w:name w:val="Header Char"/>
    <w:basedOn w:val="DefaultParagraphFont"/>
    <w:link w:val="Header"/>
    <w:uiPriority w:val="99"/>
    <w:rsid w:val="00A366AF"/>
    <w:rPr>
      <w:sz w:val="26"/>
      <w:lang w:eastAsia="en-US"/>
    </w:rPr>
  </w:style>
  <w:style w:type="paragraph" w:styleId="Footer">
    <w:name w:val="footer"/>
    <w:basedOn w:val="Normal"/>
    <w:link w:val="FooterChar"/>
    <w:rsid w:val="00A366AF"/>
    <w:pPr>
      <w:tabs>
        <w:tab w:val="center" w:pos="4680"/>
        <w:tab w:val="right" w:pos="9360"/>
      </w:tabs>
    </w:pPr>
  </w:style>
  <w:style w:type="character" w:customStyle="1" w:styleId="FooterChar">
    <w:name w:val="Footer Char"/>
    <w:basedOn w:val="DefaultParagraphFont"/>
    <w:link w:val="Footer"/>
    <w:rsid w:val="00A366AF"/>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4002-914C-4A93-879C-8110D911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R. Whitman</dc:creator>
  <cp:keywords/>
  <dc:description/>
  <cp:lastModifiedBy>Paul McNair</cp:lastModifiedBy>
  <cp:revision>2</cp:revision>
  <dcterms:created xsi:type="dcterms:W3CDTF">2022-02-28T20:19:00Z</dcterms:created>
  <dcterms:modified xsi:type="dcterms:W3CDTF">2022-02-28T20:19:00Z</dcterms:modified>
</cp:coreProperties>
</file>