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96D29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olor w:val="296D29"/>
          <w:sz w:val="28"/>
          <w:szCs w:val="28"/>
        </w:rPr>
        <w:t xml:space="preserve">EXECUTIVE TRANSITION 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96D29"/>
          <w:sz w:val="28"/>
          <w:szCs w:val="28"/>
        </w:rPr>
      </w:pP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Here are some resources as we move forward in identifying, selecting and welcoming a new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Executive Director: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color w:val="000000"/>
        </w:rPr>
      </w:pPr>
      <w:r>
        <w:rPr>
          <w:rFonts w:ascii="Palatino Linotype" w:hAnsi="Palatino Linotype" w:cs="Palatino Linotype"/>
          <w:b/>
          <w:bCs/>
          <w:color w:val="000000"/>
        </w:rPr>
        <w:t>1. Steps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color w:val="000000"/>
        </w:rPr>
      </w:pPr>
      <w:r>
        <w:rPr>
          <w:rFonts w:ascii="Palatino Linotype" w:hAnsi="Palatino Linotype" w:cs="Palatino Linotype"/>
          <w:b/>
          <w:bCs/>
          <w:color w:val="000000"/>
        </w:rPr>
        <w:t xml:space="preserve">2. Timeline 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color w:val="000000"/>
        </w:rPr>
      </w:pPr>
      <w:r>
        <w:rPr>
          <w:rFonts w:ascii="Palatino Linotype" w:hAnsi="Palatino Linotype" w:cs="Palatino Linotype"/>
          <w:b/>
          <w:bCs/>
          <w:color w:val="000000"/>
        </w:rPr>
        <w:t>3. Tips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1. STEPS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1: Take Time for Introspection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Use the change as an opportunity to reflect on mission and goals, as well as examine what issues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may underlie the recent history of executive transition. Who do we need to lead us now?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2: Establish a Board-Level Transition Committee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Appoint a committee to manage the transition process which may take from 4-18 months, from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developing a transition plan, securing interim management, proposing appropriate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compensation, advising the Board on needs for consultants or search firms, and managing the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process of recruiting, screening and checking applicants through getting a signed contract.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3: Stabilize Daily Operations and Assess Systems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Use this exit as an opportunity to get as much information as possible from the departing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executive. If necessary, appoint an Interim Director, assure that all systems are properly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maintained during the transition period, and address immediate issues that may arise from a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review of organizational activities.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4: Establish a Transition Management Plan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The transition committee prepares a timetable and budget for the search which includes details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about recruitment, selection, compensation, and development of materials such as an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organizational profile, job description, job posting, interview questions, and reference checks</w:t>
      </w:r>
      <w:r>
        <w:rPr>
          <w:rFonts w:ascii="Palatino Linotype" w:hAnsi="Palatino Linotype" w:cs="Palatino Linotype"/>
          <w:color w:val="000000"/>
        </w:rPr>
        <w:t>.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5: Develop an Organizational Overview and Executive Director Profile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This overview of organizational activities should include history, mission, activities, size of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board, budget and staff, and partnerships to help potential applicants understand the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organization.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6: Survey Stakeholders and Develop an Executive Director Profile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The Executive Director profile is more than a job description in that it describes the skills,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qualities, talents, experience and education needed to take the organization forward. It should be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concise and realistic and be a result of conversations between the board and the transition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committee. This profile allows the board and committee to hold a common vision of the priority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 xml:space="preserve">attributes desired in the successful ED candidate. 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7: Develop a Compensation and Benefits Package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Compensation should include salary; health life and disability insurance; a retirement program;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vacation and sick leave or PTO; time off and funding for continuing education; and any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relocation expenses.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Step 8: Recruit and Screen Applications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Conduct the recruitment and application review process in an orderly, fair manner to get the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 xml:space="preserve">broadest candidate pool and provide a thorough screening of qualified candidates. </w:t>
      </w:r>
      <w:proofErr w:type="gramStart"/>
      <w:r>
        <w:rPr>
          <w:rFonts w:ascii="Palatino Linotype" w:hAnsi="Palatino Linotype" w:cs="Palatino Linotype"/>
          <w:i/>
          <w:iCs/>
          <w:color w:val="000000"/>
        </w:rPr>
        <w:t>You</w:t>
      </w:r>
      <w:proofErr w:type="gramEnd"/>
      <w:r>
        <w:rPr>
          <w:rFonts w:ascii="Palatino Linotype" w:hAnsi="Palatino Linotype" w:cs="Palatino Linotype"/>
          <w:i/>
          <w:iCs/>
          <w:color w:val="000000"/>
        </w:rPr>
        <w:t xml:space="preserve"> may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include screening interviews, finalist interviews with the Board, and interviews with key decision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makers or stakeholders if deemed appropriate.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9: Negotiate Contract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The Transition Committee authorizes one person to make an employment offer and negotiate any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terms. The agreement must be documented and the new employee should quickly receive copies of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any employment materials or handbooks.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10: Orientation and welcome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A new committee should be appointed to introduce the new ED to the community and to key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stakeholders. The Board should work with the new ED to clarify board-chair-executive-staff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relations, co-create a realistic work plan with performance measures, introduce the new ED to key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Palatino Linotype"/>
          <w:i/>
          <w:iCs/>
          <w:color w:val="000000"/>
        </w:rPr>
        <w:t>stakeholders, and establish and implement an evaluation process.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2. Timeline 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When What Person responsible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Announcement of change ahead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Person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July Appoint Transition Committee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Person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First meeting of Transition Committee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Chair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ED survey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Compensation plan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Finalize Job description 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Circulate, post, recruit 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Screen applicants 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Initial interviews 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Finalist interviews 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Reference checks on finalists 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Round two finalist interviews 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Recommendation to Board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Negotiations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Chair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Announcement GL staff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Exit/transition memo 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Welcome 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Success Transition tips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…tips on the search process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Step 1. Committee/resources/budget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Step 2: Organizational assessment/visioning process/stakeholder input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Step 3: Job description/compensation package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Step 4: Create and place job announcement/recruit to the broadest candidate pool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Step 5: Review and rate all resumes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Step 6: Conduct interviews and check references with top candidates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Step 7: Interviews with key decision-makers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Step 8: Negotiate and hire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Step 9: Orient and welcome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Step 10: Roles and responsibilities/accountability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tips on what to include in the Chief Executive Profile and/or Job Announcement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Describe the organization and its needs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Identify the principal responsibilities of the next chief executive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Outlines the required leadership competencies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Delineate the desired experience and qualifications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Describe the compensation structure (salary, benefits,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Present the procedure to apply or nominate.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…tips on handling internal candidates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Find out right away if there will be any internal candidates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Do a search even if the internal candidate is exceptionally strong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Have an immediate conversation with the internal candidates even if the search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committee is not yet ready to interview candidates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Put the internal candidate through all the steps you require of all other candidates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If the internal candidate is no longer being considered, tell him/her quickly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If you choose someone else to be chief executive, tell the internal candidate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before the others are informed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…tips on the “Post Appointment” plan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Involve a new leadership transition team to work with the new ED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Provide a formal welcome and orientation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Have the ED conduct informational interviews with staff, key donors, board, and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other stakeholders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Establish written goals and expectations for the new ED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Set up regular meetings with the board chair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Board members should make deliberate introductions to key community leaders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 the ED can get networked appropriately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Create a work plan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Conduct 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 week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assessment, a 6 month assessment and a then a 12 month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assessment. After the first year, the ED should be evaluated annually.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Lay out a strategic planning process – how and when will you involve the ED?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Consider scheduling a staff retreat so the ED can connect with other staff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…tips for the Departing Executive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Provide the board with a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clear picture of what to do during the interim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Shift your focus to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short-term actions </w:t>
      </w:r>
      <w:r>
        <w:rPr>
          <w:rFonts w:ascii="Times New Roman" w:hAnsi="Times New Roman" w:cs="Times New Roman"/>
          <w:color w:val="000000"/>
          <w:sz w:val="24"/>
          <w:szCs w:val="24"/>
        </w:rPr>
        <w:t>that you and the board agree will strengthen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organization before you leave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lastRenderedPageBreak/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Encourage the board to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appoint a transition committee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Encourage the board to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conduct an organizational assessment </w:t>
      </w:r>
      <w:r>
        <w:rPr>
          <w:rFonts w:ascii="Times New Roman" w:hAnsi="Times New Roman" w:cs="Times New Roman"/>
          <w:color w:val="000000"/>
          <w:sz w:val="24"/>
          <w:szCs w:val="24"/>
        </w:rPr>
        <w:t>to focus interim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strategy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Avoid being actively involved </w:t>
      </w:r>
      <w:r>
        <w:rPr>
          <w:rFonts w:ascii="Times New Roman" w:hAnsi="Times New Roman" w:cs="Times New Roman"/>
          <w:color w:val="000000"/>
          <w:sz w:val="24"/>
          <w:szCs w:val="24"/>
        </w:rPr>
        <w:t>in selecting your successor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Encourage the board to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get outside help</w:t>
      </w:r>
      <w:r>
        <w:rPr>
          <w:rFonts w:ascii="Times New Roman" w:hAnsi="Times New Roman" w:cs="Times New Roman"/>
          <w:color w:val="000000"/>
          <w:sz w:val="24"/>
          <w:szCs w:val="24"/>
        </w:rPr>
        <w:t>, especially if you are a founder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Accept that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you will have mixed feelings </w:t>
      </w:r>
      <w:r>
        <w:rPr>
          <w:rFonts w:ascii="Times New Roman" w:hAnsi="Times New Roman" w:cs="Times New Roman"/>
          <w:color w:val="000000"/>
          <w:sz w:val="24"/>
          <w:szCs w:val="24"/>
        </w:rPr>
        <w:t>– talk about them with a colleague</w:t>
      </w:r>
    </w:p>
    <w:p w:rsidR="002A3470" w:rsidRDefault="002A3470" w:rsidP="002A3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Celebrate your accomplishments </w:t>
      </w:r>
      <w:r>
        <w:rPr>
          <w:rFonts w:ascii="Times New Roman" w:hAnsi="Times New Roman" w:cs="Times New Roman"/>
          <w:color w:val="000000"/>
          <w:sz w:val="24"/>
          <w:szCs w:val="24"/>
        </w:rPr>
        <w:t>- Say goodbye in ways appropriate for you</w:t>
      </w:r>
    </w:p>
    <w:p w:rsidR="002A3470" w:rsidRPr="00EF5EE4" w:rsidRDefault="002A3470" w:rsidP="002A347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Arial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Avoid keeping an office at the organization or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taking a role on the board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3470" w:rsidRPr="006B0D0A" w:rsidRDefault="002A3470" w:rsidP="002A3470">
      <w:pPr>
        <w:rPr>
          <w:b/>
          <w:sz w:val="24"/>
          <w:szCs w:val="24"/>
          <w:lang w:val="en-US"/>
        </w:rPr>
      </w:pPr>
      <w:r w:rsidRPr="006B0D0A">
        <w:rPr>
          <w:b/>
          <w:sz w:val="24"/>
          <w:szCs w:val="24"/>
          <w:lang w:val="en-US"/>
        </w:rPr>
        <w:t>Executive Transition</w:t>
      </w:r>
    </w:p>
    <w:p w:rsidR="002A3470" w:rsidRPr="006B0D0A" w:rsidRDefault="002A3470" w:rsidP="002A3470">
      <w:pPr>
        <w:rPr>
          <w:b/>
          <w:sz w:val="24"/>
          <w:szCs w:val="24"/>
          <w:lang w:val="en-US"/>
        </w:rPr>
      </w:pPr>
      <w:r w:rsidRPr="006B0D0A">
        <w:rPr>
          <w:b/>
          <w:sz w:val="24"/>
          <w:szCs w:val="24"/>
          <w:lang w:val="en-US"/>
        </w:rPr>
        <w:t>Checklist</w:t>
      </w:r>
    </w:p>
    <w:p w:rsidR="002A3470" w:rsidRPr="006B0D0A" w:rsidRDefault="002A3470" w:rsidP="002A3470">
      <w:pPr>
        <w:rPr>
          <w:sz w:val="24"/>
          <w:szCs w:val="24"/>
          <w:lang w:val="en-US"/>
        </w:rPr>
      </w:pPr>
      <w:r w:rsidRPr="006B0D0A">
        <w:rPr>
          <w:sz w:val="24"/>
          <w:szCs w:val="24"/>
          <w:lang w:val="en-US"/>
        </w:rPr>
        <w:t>Transitioning an employee in an Executive position can be planned, or by a sudden departure. Ideally a transition includes a period of overlap, however maintaining an up-to-date manual/file of the following ensures for unanticipated departures. The following checklist, though not exhaustive, provides an outline of operational resources required for a smooth transition.</w:t>
      </w:r>
    </w:p>
    <w:p w:rsidR="002A3470" w:rsidRPr="006B0D0A" w:rsidRDefault="002A3470" w:rsidP="002A347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6B0D0A">
        <w:rPr>
          <w:sz w:val="24"/>
          <w:szCs w:val="24"/>
          <w:lang w:val="en-US"/>
        </w:rPr>
        <w:t xml:space="preserve">Filing system (where records are kept, how they are filed, hard copies, digital, </w:t>
      </w:r>
      <w:proofErr w:type="spellStart"/>
      <w:r w:rsidRPr="006B0D0A">
        <w:rPr>
          <w:sz w:val="24"/>
          <w:szCs w:val="24"/>
          <w:lang w:val="en-US"/>
        </w:rPr>
        <w:t>etc</w:t>
      </w:r>
      <w:proofErr w:type="spellEnd"/>
      <w:r w:rsidRPr="006B0D0A">
        <w:rPr>
          <w:sz w:val="24"/>
          <w:szCs w:val="24"/>
          <w:lang w:val="en-US"/>
        </w:rPr>
        <w:t>)</w:t>
      </w:r>
    </w:p>
    <w:p w:rsidR="002A3470" w:rsidRPr="006B0D0A" w:rsidRDefault="002A3470" w:rsidP="002A3470">
      <w:pPr>
        <w:pStyle w:val="ListParagraph"/>
        <w:spacing w:after="0"/>
        <w:rPr>
          <w:sz w:val="24"/>
          <w:szCs w:val="24"/>
          <w:lang w:val="en-US"/>
        </w:rPr>
      </w:pPr>
    </w:p>
    <w:p w:rsidR="002A3470" w:rsidRPr="006B0D0A" w:rsidRDefault="002A3470" w:rsidP="002A347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6B0D0A">
        <w:rPr>
          <w:sz w:val="24"/>
          <w:szCs w:val="24"/>
          <w:lang w:val="en-US"/>
        </w:rPr>
        <w:t xml:space="preserve">Policies, procedures and guidelines (print copies, binder, </w:t>
      </w:r>
      <w:proofErr w:type="spellStart"/>
      <w:r w:rsidRPr="006B0D0A">
        <w:rPr>
          <w:sz w:val="24"/>
          <w:szCs w:val="24"/>
          <w:lang w:val="en-US"/>
        </w:rPr>
        <w:t>dgital</w:t>
      </w:r>
      <w:proofErr w:type="spellEnd"/>
      <w:r w:rsidRPr="006B0D0A">
        <w:rPr>
          <w:sz w:val="24"/>
          <w:szCs w:val="24"/>
          <w:lang w:val="en-US"/>
        </w:rPr>
        <w:t xml:space="preserve"> copies)</w:t>
      </w:r>
    </w:p>
    <w:p w:rsidR="002A3470" w:rsidRPr="006B0D0A" w:rsidRDefault="002A3470" w:rsidP="002A3470">
      <w:pPr>
        <w:pStyle w:val="ListParagraph"/>
        <w:spacing w:after="0"/>
        <w:rPr>
          <w:sz w:val="24"/>
          <w:szCs w:val="24"/>
          <w:lang w:val="en-US"/>
        </w:rPr>
      </w:pPr>
    </w:p>
    <w:p w:rsidR="002A3470" w:rsidRPr="006B0D0A" w:rsidRDefault="002A3470" w:rsidP="002A347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6B0D0A">
        <w:rPr>
          <w:sz w:val="24"/>
          <w:szCs w:val="24"/>
          <w:lang w:val="en-US"/>
        </w:rPr>
        <w:t xml:space="preserve">Passwords and access codes (websites, social media accounts, internet, </w:t>
      </w:r>
      <w:proofErr w:type="spellStart"/>
      <w:r w:rsidRPr="006B0D0A">
        <w:rPr>
          <w:sz w:val="24"/>
          <w:szCs w:val="24"/>
          <w:lang w:val="en-US"/>
        </w:rPr>
        <w:t>etc</w:t>
      </w:r>
      <w:proofErr w:type="spellEnd"/>
      <w:r w:rsidRPr="006B0D0A">
        <w:rPr>
          <w:sz w:val="24"/>
          <w:szCs w:val="24"/>
          <w:lang w:val="en-US"/>
        </w:rPr>
        <w:t>)</w:t>
      </w:r>
    </w:p>
    <w:p w:rsidR="002A3470" w:rsidRPr="006B0D0A" w:rsidRDefault="002A3470" w:rsidP="002A3470">
      <w:pPr>
        <w:pStyle w:val="ListParagraph"/>
        <w:spacing w:after="0"/>
        <w:rPr>
          <w:sz w:val="24"/>
          <w:szCs w:val="24"/>
          <w:lang w:val="en-US"/>
        </w:rPr>
      </w:pPr>
    </w:p>
    <w:p w:rsidR="002A3470" w:rsidRPr="006B0D0A" w:rsidRDefault="002A3470" w:rsidP="002A347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6B0D0A">
        <w:rPr>
          <w:sz w:val="24"/>
          <w:szCs w:val="24"/>
          <w:lang w:val="en-US"/>
        </w:rPr>
        <w:t xml:space="preserve">Banking (financial records, </w:t>
      </w:r>
      <w:proofErr w:type="spellStart"/>
      <w:r w:rsidRPr="006B0D0A">
        <w:rPr>
          <w:sz w:val="24"/>
          <w:szCs w:val="24"/>
          <w:lang w:val="en-US"/>
        </w:rPr>
        <w:t>cheques</w:t>
      </w:r>
      <w:proofErr w:type="spellEnd"/>
      <w:r w:rsidRPr="006B0D0A">
        <w:rPr>
          <w:sz w:val="24"/>
          <w:szCs w:val="24"/>
          <w:lang w:val="en-US"/>
        </w:rPr>
        <w:t>, signing authority, on-line access)</w:t>
      </w:r>
    </w:p>
    <w:p w:rsidR="002A3470" w:rsidRPr="006B0D0A" w:rsidRDefault="002A3470" w:rsidP="002A3470">
      <w:pPr>
        <w:pStyle w:val="ListParagraph"/>
        <w:spacing w:after="0"/>
        <w:rPr>
          <w:sz w:val="24"/>
          <w:szCs w:val="24"/>
          <w:lang w:val="en-US"/>
        </w:rPr>
      </w:pPr>
    </w:p>
    <w:p w:rsidR="002A3470" w:rsidRPr="006B0D0A" w:rsidRDefault="002A3470" w:rsidP="002A347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6B0D0A">
        <w:rPr>
          <w:sz w:val="24"/>
          <w:szCs w:val="24"/>
          <w:lang w:val="en-US"/>
        </w:rPr>
        <w:t>Personnel policies (manual, forms, resumes, employee files)</w:t>
      </w:r>
    </w:p>
    <w:p w:rsidR="002A3470" w:rsidRPr="006B0D0A" w:rsidRDefault="002A3470" w:rsidP="002A3470">
      <w:pPr>
        <w:pStyle w:val="ListParagraph"/>
        <w:spacing w:after="0"/>
        <w:rPr>
          <w:sz w:val="24"/>
          <w:szCs w:val="24"/>
          <w:lang w:val="en-US"/>
        </w:rPr>
      </w:pPr>
    </w:p>
    <w:p w:rsidR="002A3470" w:rsidRPr="006B0D0A" w:rsidRDefault="002A3470" w:rsidP="002A347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6B0D0A">
        <w:rPr>
          <w:sz w:val="24"/>
          <w:szCs w:val="24"/>
          <w:lang w:val="en-US"/>
        </w:rPr>
        <w:t xml:space="preserve">Office (keys, lease, </w:t>
      </w:r>
      <w:proofErr w:type="spellStart"/>
      <w:r w:rsidRPr="006B0D0A">
        <w:rPr>
          <w:sz w:val="24"/>
          <w:szCs w:val="24"/>
          <w:lang w:val="en-US"/>
        </w:rPr>
        <w:t>utlilities</w:t>
      </w:r>
      <w:proofErr w:type="spellEnd"/>
      <w:r w:rsidRPr="006B0D0A">
        <w:rPr>
          <w:sz w:val="24"/>
          <w:szCs w:val="24"/>
          <w:lang w:val="en-US"/>
        </w:rPr>
        <w:t>)</w:t>
      </w:r>
    </w:p>
    <w:p w:rsidR="002A3470" w:rsidRPr="006B0D0A" w:rsidRDefault="002A3470" w:rsidP="002A3470">
      <w:pPr>
        <w:pStyle w:val="ListParagraph"/>
        <w:spacing w:after="0"/>
        <w:rPr>
          <w:sz w:val="24"/>
          <w:szCs w:val="24"/>
          <w:lang w:val="en-US"/>
        </w:rPr>
      </w:pPr>
    </w:p>
    <w:p w:rsidR="002A3470" w:rsidRPr="006B0D0A" w:rsidRDefault="002A3470" w:rsidP="002A347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6B0D0A">
        <w:rPr>
          <w:sz w:val="24"/>
          <w:szCs w:val="24"/>
          <w:lang w:val="en-US"/>
        </w:rPr>
        <w:t>Contact lists (Board, staff, members, donors)</w:t>
      </w:r>
    </w:p>
    <w:p w:rsidR="002A3470" w:rsidRPr="006B0D0A" w:rsidRDefault="002A3470" w:rsidP="002A3470">
      <w:pPr>
        <w:pStyle w:val="ListParagraph"/>
        <w:spacing w:after="0"/>
        <w:rPr>
          <w:sz w:val="24"/>
          <w:szCs w:val="24"/>
          <w:lang w:val="en-US"/>
        </w:rPr>
      </w:pPr>
    </w:p>
    <w:p w:rsidR="002A3470" w:rsidRPr="006B0D0A" w:rsidRDefault="002A3470" w:rsidP="002A347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6B0D0A">
        <w:rPr>
          <w:sz w:val="24"/>
          <w:szCs w:val="24"/>
          <w:lang w:val="en-US"/>
        </w:rPr>
        <w:t>Funding (grant applications, reports, systems)</w:t>
      </w:r>
    </w:p>
    <w:p w:rsidR="002A3470" w:rsidRPr="006B0D0A" w:rsidRDefault="002A3470" w:rsidP="002A3470">
      <w:pPr>
        <w:pStyle w:val="ListParagraph"/>
        <w:spacing w:after="0"/>
        <w:rPr>
          <w:sz w:val="24"/>
          <w:szCs w:val="24"/>
          <w:lang w:val="en-US"/>
        </w:rPr>
      </w:pPr>
    </w:p>
    <w:p w:rsidR="002A3470" w:rsidRPr="006B0D0A" w:rsidRDefault="002A3470" w:rsidP="002A347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6B0D0A">
        <w:rPr>
          <w:sz w:val="24"/>
          <w:szCs w:val="24"/>
          <w:lang w:val="en-US"/>
        </w:rPr>
        <w:t>Financial (records,</w:t>
      </w:r>
      <w:r>
        <w:rPr>
          <w:sz w:val="24"/>
          <w:szCs w:val="24"/>
          <w:lang w:val="en-US"/>
        </w:rPr>
        <w:t xml:space="preserve"> statements, audits, bookkeeper, CRA filings, contracts)</w:t>
      </w:r>
    </w:p>
    <w:p w:rsidR="002A3470" w:rsidRPr="006B0D0A" w:rsidRDefault="002A3470" w:rsidP="002A3470">
      <w:pPr>
        <w:pStyle w:val="ListParagraph"/>
        <w:spacing w:after="0"/>
        <w:rPr>
          <w:sz w:val="24"/>
          <w:szCs w:val="24"/>
          <w:lang w:val="en-US"/>
        </w:rPr>
      </w:pPr>
    </w:p>
    <w:p w:rsidR="002A3470" w:rsidRPr="006B0D0A" w:rsidRDefault="002A3470" w:rsidP="002A347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6B0D0A">
        <w:rPr>
          <w:sz w:val="24"/>
          <w:szCs w:val="24"/>
          <w:lang w:val="en-US"/>
        </w:rPr>
        <w:t>Benefits plan (provider, access, employee handbook)</w:t>
      </w:r>
    </w:p>
    <w:p w:rsidR="002A3470" w:rsidRPr="006B0D0A" w:rsidRDefault="002A3470" w:rsidP="002A3470">
      <w:pPr>
        <w:pStyle w:val="ListParagraph"/>
        <w:spacing w:after="0"/>
        <w:rPr>
          <w:sz w:val="24"/>
          <w:szCs w:val="24"/>
          <w:lang w:val="en-US"/>
        </w:rPr>
      </w:pPr>
    </w:p>
    <w:p w:rsidR="002A3470" w:rsidRDefault="002A3470" w:rsidP="002A347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6B0D0A">
        <w:rPr>
          <w:sz w:val="24"/>
          <w:szCs w:val="24"/>
          <w:lang w:val="en-US"/>
        </w:rPr>
        <w:t>Insurance (Liability, Board)</w:t>
      </w:r>
    </w:p>
    <w:p w:rsidR="002A3470" w:rsidRPr="006B0D0A" w:rsidRDefault="002A3470" w:rsidP="002A3470">
      <w:pPr>
        <w:pStyle w:val="ListParagraph"/>
        <w:spacing w:after="0"/>
        <w:rPr>
          <w:sz w:val="24"/>
          <w:szCs w:val="24"/>
          <w:lang w:val="en-US"/>
        </w:rPr>
      </w:pPr>
    </w:p>
    <w:p w:rsidR="002A3470" w:rsidRDefault="002A3470" w:rsidP="002A347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Land management (covenants, acquisition documents, stewardship processes)</w:t>
      </w:r>
    </w:p>
    <w:p w:rsidR="002A3470" w:rsidRPr="006B0D0A" w:rsidRDefault="002A3470" w:rsidP="002A3470">
      <w:pPr>
        <w:pStyle w:val="ListParagraph"/>
        <w:spacing w:after="0"/>
        <w:rPr>
          <w:sz w:val="24"/>
          <w:szCs w:val="24"/>
          <w:lang w:val="en-US"/>
        </w:rPr>
      </w:pPr>
    </w:p>
    <w:p w:rsidR="002A3470" w:rsidRDefault="002A3470" w:rsidP="002A347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Fundraising (events, individual campaigns, on-line options)</w:t>
      </w:r>
    </w:p>
    <w:p w:rsidR="002A3470" w:rsidRPr="006B0D0A" w:rsidRDefault="002A3470" w:rsidP="002A3470">
      <w:pPr>
        <w:pStyle w:val="ListParagraph"/>
        <w:spacing w:after="0"/>
        <w:rPr>
          <w:sz w:val="24"/>
          <w:szCs w:val="24"/>
          <w:lang w:val="en-US"/>
        </w:rPr>
      </w:pPr>
    </w:p>
    <w:p w:rsidR="002A3470" w:rsidRDefault="002A3470" w:rsidP="002A347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Governance (society incorporation, provincial annual reports, charitable status, CRA filings, constitution, bylaws)</w:t>
      </w:r>
    </w:p>
    <w:p w:rsidR="002A3470" w:rsidRPr="006B0D0A" w:rsidRDefault="002A3470" w:rsidP="002A3470">
      <w:pPr>
        <w:pStyle w:val="ListParagraph"/>
        <w:spacing w:after="0"/>
        <w:rPr>
          <w:sz w:val="24"/>
          <w:szCs w:val="24"/>
          <w:lang w:val="en-US"/>
        </w:rPr>
      </w:pPr>
    </w:p>
    <w:p w:rsidR="002A3470" w:rsidRPr="006B0D0A" w:rsidRDefault="002A3470" w:rsidP="002A347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Suppliers (internet, telephone, office supplies, photocopier, lawyer, accountant)</w:t>
      </w:r>
    </w:p>
    <w:p w:rsidR="002A3470" w:rsidRDefault="002A3470" w:rsidP="002A3470">
      <w:pPr>
        <w:rPr>
          <w:lang w:val="en-US"/>
        </w:rPr>
      </w:pPr>
    </w:p>
    <w:p w:rsidR="002A3470" w:rsidRDefault="002A3470" w:rsidP="002A3470">
      <w:pPr>
        <w:rPr>
          <w:lang w:val="en-US"/>
        </w:rPr>
      </w:pPr>
    </w:p>
    <w:p w:rsidR="002A3470" w:rsidRDefault="002A3470" w:rsidP="002A3470">
      <w:pPr>
        <w:rPr>
          <w:lang w:val="en-US"/>
        </w:rPr>
      </w:pPr>
    </w:p>
    <w:p w:rsidR="002A3470" w:rsidRDefault="002A3470" w:rsidP="002A3470">
      <w:pPr>
        <w:rPr>
          <w:lang w:val="en-US"/>
        </w:rPr>
      </w:pPr>
    </w:p>
    <w:p w:rsidR="002A3470" w:rsidRDefault="002A3470" w:rsidP="002A3470">
      <w:pPr>
        <w:rPr>
          <w:lang w:val="en-US"/>
        </w:rPr>
      </w:pPr>
    </w:p>
    <w:p w:rsidR="002A3470" w:rsidRDefault="002A3470" w:rsidP="002A3470">
      <w:pPr>
        <w:rPr>
          <w:lang w:val="en-US"/>
        </w:rPr>
      </w:pPr>
    </w:p>
    <w:p w:rsidR="002A3470" w:rsidRDefault="002A3470" w:rsidP="002A3470">
      <w:pPr>
        <w:rPr>
          <w:lang w:val="en-US"/>
        </w:rPr>
      </w:pPr>
    </w:p>
    <w:p w:rsidR="002A3470" w:rsidRDefault="002A3470" w:rsidP="002A3470">
      <w:pPr>
        <w:rPr>
          <w:lang w:val="en-US"/>
        </w:rPr>
      </w:pPr>
    </w:p>
    <w:p w:rsidR="002A3470" w:rsidRDefault="002A3470" w:rsidP="002A3470">
      <w:pPr>
        <w:rPr>
          <w:lang w:val="en-US"/>
        </w:rPr>
      </w:pPr>
    </w:p>
    <w:p w:rsidR="002A3470" w:rsidRDefault="002A3470" w:rsidP="002A3470">
      <w:pPr>
        <w:rPr>
          <w:lang w:val="en-US"/>
        </w:rPr>
      </w:pPr>
    </w:p>
    <w:p w:rsidR="002A3470" w:rsidRDefault="002A3470" w:rsidP="002A3470">
      <w:pPr>
        <w:rPr>
          <w:lang w:val="en-US"/>
        </w:rPr>
      </w:pPr>
    </w:p>
    <w:p w:rsidR="002A3470" w:rsidRDefault="002A3470" w:rsidP="002A3470">
      <w:pPr>
        <w:rPr>
          <w:lang w:val="en-US"/>
        </w:rPr>
      </w:pPr>
    </w:p>
    <w:p w:rsidR="002A3470" w:rsidRDefault="002A3470" w:rsidP="002A3470">
      <w:pPr>
        <w:rPr>
          <w:lang w:val="en-US"/>
        </w:rPr>
      </w:pPr>
    </w:p>
    <w:p w:rsidR="002A3470" w:rsidRDefault="002A3470" w:rsidP="002A3470">
      <w:pPr>
        <w:rPr>
          <w:lang w:val="en-US"/>
        </w:rPr>
      </w:pPr>
    </w:p>
    <w:p w:rsidR="002A3470" w:rsidRDefault="002A3470" w:rsidP="002A3470">
      <w:pPr>
        <w:rPr>
          <w:lang w:val="en-US"/>
        </w:rPr>
      </w:pPr>
    </w:p>
    <w:p w:rsidR="002A3470" w:rsidRDefault="002A3470" w:rsidP="002A3470">
      <w:pPr>
        <w:rPr>
          <w:lang w:val="en-US"/>
        </w:rPr>
      </w:pPr>
    </w:p>
    <w:p w:rsidR="002A3470" w:rsidRDefault="002A3470" w:rsidP="002A3470">
      <w:pPr>
        <w:rPr>
          <w:lang w:val="en-US"/>
        </w:rPr>
      </w:pPr>
    </w:p>
    <w:p w:rsidR="002A3470" w:rsidRDefault="002A3470" w:rsidP="002A3470">
      <w:pPr>
        <w:rPr>
          <w:lang w:val="en-US"/>
        </w:rPr>
      </w:pPr>
    </w:p>
    <w:p w:rsidR="002A3470" w:rsidRDefault="002A3470" w:rsidP="002A3470">
      <w:pPr>
        <w:rPr>
          <w:lang w:val="en-US"/>
        </w:rPr>
      </w:pPr>
    </w:p>
    <w:p w:rsidR="002A3470" w:rsidRDefault="002A3470" w:rsidP="002A3470">
      <w:pPr>
        <w:rPr>
          <w:lang w:val="en-US"/>
        </w:rPr>
      </w:pPr>
    </w:p>
    <w:p w:rsidR="002A3470" w:rsidRDefault="002A3470" w:rsidP="002A3470"/>
    <w:p w:rsidR="00BC725A" w:rsidRDefault="00BC725A"/>
    <w:sectPr w:rsidR="00BC72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F5B67"/>
    <w:multiLevelType w:val="hybridMultilevel"/>
    <w:tmpl w:val="F97477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70"/>
    <w:rsid w:val="002A3470"/>
    <w:rsid w:val="00BC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4D68A-CFB5-4399-AF35-6036EB7A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McNair</dc:creator>
  <cp:keywords/>
  <dc:description/>
  <cp:lastModifiedBy>Paul McNair</cp:lastModifiedBy>
  <cp:revision>1</cp:revision>
  <dcterms:created xsi:type="dcterms:W3CDTF">2022-02-28T20:08:00Z</dcterms:created>
  <dcterms:modified xsi:type="dcterms:W3CDTF">2022-02-28T20:08:00Z</dcterms:modified>
</cp:coreProperties>
</file>